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A9" w:rsidRDefault="00FC0C28" w:rsidP="00226DA9">
      <w:pPr>
        <w:pStyle w:val="Heading6"/>
        <w:rPr>
          <w:rFonts w:cs="Arial"/>
          <w:b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posOffset>3464169</wp:posOffset>
                </wp:positionH>
                <wp:positionV relativeFrom="paragraph">
                  <wp:posOffset>-385982</wp:posOffset>
                </wp:positionV>
                <wp:extent cx="2320506" cy="167054"/>
                <wp:effectExtent l="0" t="0" r="381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506" cy="167054"/>
                        </a:xfrm>
                        <a:prstGeom prst="rect">
                          <a:avLst/>
                        </a:prstGeom>
                        <a:solidFill>
                          <a:srgbClr val="FFFFFF"/>
                        </a:solidFill>
                        <a:ln w="9525">
                          <a:noFill/>
                          <a:miter lim="800000"/>
                          <a:headEnd/>
                          <a:tailEnd/>
                        </a:ln>
                      </wps:spPr>
                      <wps:txbx>
                        <w:txbxContent>
                          <w:p w:rsidR="00226DA9" w:rsidRPr="007820F3" w:rsidRDefault="00FC0C28" w:rsidP="00226DA9">
                            <w:pPr>
                              <w:jc w:val="right"/>
                              <w:rPr>
                                <w:szCs w:val="24"/>
                              </w:rPr>
                            </w:pPr>
                            <w:r>
                              <w:rPr>
                                <w:b/>
                                <w:sz w:val="28"/>
                                <w:szCs w:val="28"/>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75pt;margin-top:-30.4pt;width:182.7pt;height:1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" stroked="f">
                <v:textbox>
                  <w:txbxContent>
                    <w:p w:rsidR="00226DA9" w:rsidRPr="007820F3" w:rsidRDefault="00FC0C28" w:rsidP="00226DA9">
                      <w:pPr>
                        <w:jc w:val="right"/>
                        <w:rPr>
                          <w:szCs w:val="24"/>
                        </w:rPr>
                      </w:pPr>
                      <w:r>
                        <w:rPr>
                          <w:b/>
                          <w:sz w:val="28"/>
                          <w:szCs w:val="28"/>
                        </w:rPr>
                        <w:t xml:space="preserve">            </w:t>
                      </w:r>
                    </w:p>
                  </w:txbxContent>
                </v:textbox>
                <w10:wrap anchorx="margin"/>
              </v:shape>
            </w:pict>
          </mc:Fallback>
        </mc:AlternateContent>
      </w:r>
      <w:r w:rsidRPr="00D13BBE">
        <w:rPr>
          <w:rFonts w:cs="Arial"/>
          <w:sz w:val="28"/>
          <w:szCs w:val="28"/>
        </w:rPr>
        <w:t xml:space="preserve">Treasury Management Activity </w:t>
      </w:r>
      <w:r>
        <w:rPr>
          <w:rFonts w:cs="Arial"/>
          <w:sz w:val="28"/>
          <w:szCs w:val="28"/>
        </w:rPr>
        <w:t>2019/20: April to September 2019</w:t>
      </w:r>
    </w:p>
    <w:p w:rsidR="00226DA9" w:rsidRDefault="00FD7269" w:rsidP="00226DA9">
      <w:pPr>
        <w:jc w:val="both"/>
        <w:rPr>
          <w:rFonts w:cs="Arial"/>
          <w:szCs w:val="24"/>
        </w:rPr>
      </w:pPr>
    </w:p>
    <w:p w:rsidR="00226DA9" w:rsidRPr="002A7762" w:rsidRDefault="00FC0C28" w:rsidP="00226DA9">
      <w:pPr>
        <w:ind w:right="96"/>
        <w:jc w:val="both"/>
        <w:rPr>
          <w:rFonts w:cs="Arial"/>
          <w:szCs w:val="24"/>
        </w:rPr>
      </w:pPr>
      <w:r w:rsidRPr="002A7762">
        <w:rPr>
          <w:rFonts w:cs="Arial"/>
          <w:szCs w:val="24"/>
        </w:rPr>
        <w:t xml:space="preserve">The council’s treasury management activity is underpinned by </w:t>
      </w:r>
      <w:r>
        <w:rPr>
          <w:rFonts w:cs="Arial"/>
          <w:szCs w:val="24"/>
        </w:rPr>
        <w:t>the Chartered Institute of Public Finance and Accountancy's (</w:t>
      </w:r>
      <w:r w:rsidRPr="002A7762">
        <w:rPr>
          <w:rFonts w:cs="Arial"/>
          <w:szCs w:val="24"/>
        </w:rPr>
        <w:t>CIPFA</w:t>
      </w:r>
      <w:r>
        <w:rPr>
          <w:rFonts w:cs="Arial"/>
          <w:szCs w:val="24"/>
        </w:rPr>
        <w:t>)</w:t>
      </w:r>
      <w:r w:rsidRPr="002A7762">
        <w:rPr>
          <w:rFonts w:cs="Arial"/>
          <w:szCs w:val="24"/>
        </w:rPr>
        <w:t xml:space="preserve"> Code of Practice on T</w:t>
      </w:r>
      <w:r>
        <w:rPr>
          <w:rFonts w:cs="Arial"/>
          <w:szCs w:val="24"/>
        </w:rPr>
        <w:t>reasury Management (“the Code”).</w:t>
      </w:r>
      <w:r w:rsidRPr="002A7762">
        <w:rPr>
          <w:rFonts w:cs="Arial"/>
          <w:szCs w:val="24"/>
        </w:rPr>
        <w:t xml:space="preserve"> The Code recommends that members are informed of treasury management activities.</w:t>
      </w:r>
      <w:r w:rsidR="00127704">
        <w:rPr>
          <w:rFonts w:cs="Arial"/>
          <w:szCs w:val="24"/>
        </w:rPr>
        <w:t xml:space="preserve"> </w:t>
      </w:r>
      <w:r w:rsidRPr="002A7762">
        <w:rPr>
          <w:rFonts w:cs="Arial"/>
          <w:szCs w:val="24"/>
        </w:rPr>
        <w:t xml:space="preserve">This report provides a brief update on treasury management activity between 1 </w:t>
      </w:r>
      <w:r>
        <w:rPr>
          <w:rFonts w:cs="Arial"/>
          <w:szCs w:val="24"/>
        </w:rPr>
        <w:t>April and 30 September 2019</w:t>
      </w:r>
      <w:r w:rsidRPr="002A7762">
        <w:rPr>
          <w:rFonts w:cs="Arial"/>
          <w:szCs w:val="24"/>
        </w:rPr>
        <w:t>.</w:t>
      </w:r>
    </w:p>
    <w:p w:rsidR="00226DA9" w:rsidRPr="0098171A" w:rsidRDefault="00FD7269" w:rsidP="00226DA9">
      <w:pPr>
        <w:jc w:val="both"/>
        <w:rPr>
          <w:rFonts w:cs="Arial"/>
          <w:b/>
          <w:szCs w:val="24"/>
          <w:highlight w:val="green"/>
        </w:rPr>
      </w:pPr>
    </w:p>
    <w:p w:rsidR="00226DA9" w:rsidRPr="0051406B" w:rsidRDefault="00FC0C28" w:rsidP="00226DA9">
      <w:pPr>
        <w:jc w:val="both"/>
        <w:rPr>
          <w:rFonts w:cs="Arial"/>
          <w:b/>
          <w:szCs w:val="24"/>
        </w:rPr>
      </w:pPr>
      <w:r w:rsidRPr="0051406B">
        <w:rPr>
          <w:rFonts w:cs="Arial"/>
          <w:b/>
          <w:szCs w:val="24"/>
        </w:rPr>
        <w:t>Economic context</w:t>
      </w:r>
    </w:p>
    <w:p w:rsidR="00226DA9" w:rsidRPr="0051406B" w:rsidRDefault="00FD7269" w:rsidP="00226DA9">
      <w:pPr>
        <w:jc w:val="both"/>
        <w:rPr>
          <w:rFonts w:cs="Arial"/>
          <w:b/>
          <w:szCs w:val="24"/>
        </w:rPr>
      </w:pPr>
    </w:p>
    <w:p w:rsidR="00226DA9" w:rsidRDefault="00FC0C28" w:rsidP="00226DA9">
      <w:pPr>
        <w:jc w:val="both"/>
        <w:rPr>
          <w:rFonts w:cs="Arial"/>
          <w:szCs w:val="24"/>
        </w:rPr>
      </w:pPr>
      <w:r>
        <w:rPr>
          <w:rFonts w:cs="Arial"/>
          <w:szCs w:val="24"/>
        </w:rPr>
        <w:t xml:space="preserve">The </w:t>
      </w:r>
      <w:r w:rsidRPr="0051406B">
        <w:rPr>
          <w:rFonts w:cs="Arial"/>
          <w:szCs w:val="24"/>
        </w:rPr>
        <w:t>econom</w:t>
      </w:r>
      <w:r>
        <w:rPr>
          <w:rFonts w:cs="Arial"/>
          <w:szCs w:val="24"/>
        </w:rPr>
        <w:t>ic situation</w:t>
      </w:r>
      <w:r w:rsidRPr="0051406B">
        <w:rPr>
          <w:rFonts w:cs="Arial"/>
          <w:szCs w:val="24"/>
        </w:rPr>
        <w:t xml:space="preserve"> continues to be </w:t>
      </w:r>
      <w:r>
        <w:rPr>
          <w:rFonts w:cs="Arial"/>
          <w:szCs w:val="24"/>
        </w:rPr>
        <w:t xml:space="preserve">dominated by the </w:t>
      </w:r>
      <w:r w:rsidRPr="0051406B">
        <w:rPr>
          <w:rFonts w:cs="Arial"/>
          <w:szCs w:val="24"/>
        </w:rPr>
        <w:t>uncertain</w:t>
      </w:r>
      <w:r>
        <w:rPr>
          <w:rFonts w:cs="Arial"/>
          <w:szCs w:val="24"/>
        </w:rPr>
        <w:t>ty</w:t>
      </w:r>
      <w:r w:rsidRPr="0051406B">
        <w:rPr>
          <w:rFonts w:cs="Arial"/>
          <w:szCs w:val="24"/>
        </w:rPr>
        <w:t xml:space="preserve"> arising from the</w:t>
      </w:r>
      <w:r w:rsidRPr="0051406B">
        <w:t xml:space="preserve"> </w:t>
      </w:r>
      <w:r w:rsidRPr="0051406B">
        <w:rPr>
          <w:rFonts w:cs="Arial"/>
          <w:szCs w:val="24"/>
        </w:rPr>
        <w:t xml:space="preserve">unknown impact of the UK's withdrawal from the European Union and </w:t>
      </w:r>
      <w:r>
        <w:rPr>
          <w:rFonts w:cs="Arial"/>
          <w:szCs w:val="24"/>
        </w:rPr>
        <w:t xml:space="preserve">the </w:t>
      </w:r>
      <w:r w:rsidRPr="0051406B">
        <w:rPr>
          <w:rFonts w:cs="Arial"/>
          <w:szCs w:val="24"/>
        </w:rPr>
        <w:t xml:space="preserve">trade </w:t>
      </w:r>
      <w:r>
        <w:rPr>
          <w:rFonts w:cs="Arial"/>
          <w:szCs w:val="24"/>
        </w:rPr>
        <w:t xml:space="preserve">dispute </w:t>
      </w:r>
      <w:r w:rsidRPr="0051406B">
        <w:rPr>
          <w:rFonts w:cs="Arial"/>
          <w:szCs w:val="24"/>
        </w:rPr>
        <w:t>between the worlds' two largest economies namely the USA and China.</w:t>
      </w:r>
      <w:r w:rsidR="00127704">
        <w:rPr>
          <w:rFonts w:cs="Arial"/>
          <w:szCs w:val="24"/>
        </w:rPr>
        <w:t xml:space="preserve"> </w:t>
      </w:r>
      <w:r w:rsidRPr="00740504">
        <w:rPr>
          <w:rFonts w:cs="Arial"/>
          <w:szCs w:val="24"/>
        </w:rPr>
        <w:t xml:space="preserve">Despite this, the first quarter of 2019 showed relatively strong growth of 0.5% (1.8% year on year). However, it was considered that this was partly due to stockpiling ahead of </w:t>
      </w:r>
      <w:r>
        <w:rPr>
          <w:rFonts w:cs="Arial"/>
          <w:szCs w:val="24"/>
        </w:rPr>
        <w:t>the expected date for leaving the European Union</w:t>
      </w:r>
      <w:r w:rsidRPr="00740504">
        <w:rPr>
          <w:rFonts w:cs="Arial"/>
          <w:szCs w:val="24"/>
        </w:rPr>
        <w:t xml:space="preserve"> and was followed by a contraction of 0.2% in the second quarter</w:t>
      </w:r>
      <w:r>
        <w:rPr>
          <w:rFonts w:cs="Arial"/>
          <w:szCs w:val="24"/>
        </w:rPr>
        <w:t>.</w:t>
      </w:r>
    </w:p>
    <w:p w:rsidR="00226DA9" w:rsidRDefault="00FC0C28" w:rsidP="00226DA9">
      <w:pPr>
        <w:jc w:val="both"/>
        <w:rPr>
          <w:rFonts w:cs="Arial"/>
          <w:szCs w:val="24"/>
        </w:rPr>
      </w:pPr>
      <w:r w:rsidRPr="00740504">
        <w:rPr>
          <w:rFonts w:cs="Arial"/>
          <w:szCs w:val="24"/>
        </w:rPr>
        <w:t xml:space="preserve"> </w:t>
      </w:r>
    </w:p>
    <w:p w:rsidR="00226DA9" w:rsidRDefault="00FC0C28" w:rsidP="00226DA9">
      <w:pPr>
        <w:jc w:val="both"/>
        <w:rPr>
          <w:rFonts w:cs="Arial"/>
          <w:szCs w:val="24"/>
        </w:rPr>
      </w:pPr>
      <w:r>
        <w:rPr>
          <w:rFonts w:cs="Arial"/>
          <w:szCs w:val="24"/>
        </w:rPr>
        <w:t>The uncertainty in the economy has influenc</w:t>
      </w:r>
      <w:r w:rsidR="00127704">
        <w:rPr>
          <w:rFonts w:cs="Arial"/>
          <w:szCs w:val="24"/>
        </w:rPr>
        <w:t xml:space="preserve">ed the forecast interest rates. </w:t>
      </w:r>
      <w:r w:rsidRPr="00DC15AC">
        <w:rPr>
          <w:rFonts w:cs="Arial"/>
          <w:szCs w:val="24"/>
        </w:rPr>
        <w:t>The Bank of England has in recent times raised expectations of gradual increases in interest rates</w:t>
      </w:r>
      <w:r>
        <w:rPr>
          <w:rFonts w:cs="Arial"/>
          <w:szCs w:val="24"/>
        </w:rPr>
        <w:t xml:space="preserve"> and this has been reflected in interest rate forecasts. Recent forecasts</w:t>
      </w:r>
      <w:r w:rsidR="001F1CD2">
        <w:rPr>
          <w:rFonts w:cs="Arial"/>
          <w:szCs w:val="24"/>
        </w:rPr>
        <w:t xml:space="preserve"> though</w:t>
      </w:r>
      <w:r>
        <w:rPr>
          <w:rFonts w:cs="Arial"/>
          <w:szCs w:val="24"/>
        </w:rPr>
        <w:t xml:space="preserve"> h</w:t>
      </w:r>
      <w:r w:rsidR="00127704">
        <w:rPr>
          <w:rFonts w:cs="Arial"/>
          <w:szCs w:val="24"/>
        </w:rPr>
        <w:t xml:space="preserve">ave reduced this expectation. </w:t>
      </w:r>
      <w:r>
        <w:rPr>
          <w:rFonts w:cs="Arial"/>
          <w:szCs w:val="24"/>
        </w:rPr>
        <w:t xml:space="preserve">In their May forecast </w:t>
      </w:r>
      <w:proofErr w:type="spellStart"/>
      <w:r>
        <w:rPr>
          <w:rFonts w:cs="Arial"/>
          <w:szCs w:val="24"/>
        </w:rPr>
        <w:t>Arlinglose</w:t>
      </w:r>
      <w:proofErr w:type="spellEnd"/>
      <w:r>
        <w:rPr>
          <w:rFonts w:cs="Arial"/>
          <w:szCs w:val="24"/>
        </w:rPr>
        <w:t>, the council's treasury advisers, were forecasting that the bank rate would see a 0.25% increase in March 2020 and September 2020. However, with the prevailing economic situation they have changed the forecast to reflect no change in the Bank Rate for the foreseeable future. However, there are risks to this forecast which could see rates moving in either direction.</w:t>
      </w:r>
    </w:p>
    <w:p w:rsidR="00226DA9" w:rsidRDefault="00FD7269" w:rsidP="00226DA9">
      <w:pPr>
        <w:jc w:val="both"/>
        <w:rPr>
          <w:rFonts w:cs="Arial"/>
          <w:szCs w:val="24"/>
        </w:rPr>
      </w:pPr>
    </w:p>
    <w:p w:rsidR="00226DA9" w:rsidRPr="00DC15AC" w:rsidRDefault="00FC0C28" w:rsidP="00226DA9">
      <w:pPr>
        <w:jc w:val="both"/>
        <w:rPr>
          <w:rFonts w:cs="Arial"/>
          <w:szCs w:val="24"/>
        </w:rPr>
      </w:pPr>
      <w:r>
        <w:rPr>
          <w:rFonts w:cs="Arial"/>
          <w:szCs w:val="24"/>
        </w:rPr>
        <w:t xml:space="preserve">Recent economic data has suggested that weaker economic growth has occurred, and is anticipated to continue, globally. One of the consequences of this </w:t>
      </w:r>
      <w:r w:rsidR="001F1CD2">
        <w:rPr>
          <w:rFonts w:cs="Arial"/>
          <w:szCs w:val="24"/>
        </w:rPr>
        <w:t xml:space="preserve">together with </w:t>
      </w:r>
      <w:r>
        <w:rPr>
          <w:rFonts w:cs="Arial"/>
          <w:szCs w:val="24"/>
        </w:rPr>
        <w:t>the political uncertainty has been that Gilt yields have been volatile over the period and they have fallen to historically low levels. For example the 20 year Gilt yield fell from 1.35% to 0.88% from the end of June to the end of September.</w:t>
      </w:r>
    </w:p>
    <w:p w:rsidR="00226DA9" w:rsidRPr="00A03668" w:rsidRDefault="00FD7269" w:rsidP="00226DA9">
      <w:pPr>
        <w:pStyle w:val="ListParagraph"/>
        <w:spacing w:after="0"/>
        <w:ind w:left="0"/>
        <w:jc w:val="both"/>
        <w:rPr>
          <w:rFonts w:cs="Arial"/>
          <w:b/>
          <w:szCs w:val="24"/>
        </w:rPr>
      </w:pPr>
    </w:p>
    <w:p w:rsidR="00226DA9" w:rsidRPr="00A03668" w:rsidRDefault="00FC0C28" w:rsidP="00226DA9">
      <w:pPr>
        <w:pStyle w:val="ListParagraph"/>
        <w:spacing w:after="0" w:line="240" w:lineRule="auto"/>
        <w:ind w:left="0"/>
        <w:jc w:val="both"/>
        <w:rPr>
          <w:rFonts w:cs="Arial"/>
          <w:b/>
          <w:szCs w:val="24"/>
        </w:rPr>
      </w:pPr>
      <w:r w:rsidRPr="00A03668">
        <w:rPr>
          <w:rFonts w:cs="Arial"/>
          <w:b/>
          <w:szCs w:val="24"/>
        </w:rPr>
        <w:t xml:space="preserve">Investment </w:t>
      </w:r>
      <w:r>
        <w:rPr>
          <w:rFonts w:cs="Arial"/>
          <w:b/>
          <w:szCs w:val="24"/>
        </w:rPr>
        <w:t>a</w:t>
      </w:r>
      <w:r w:rsidRPr="00A03668">
        <w:rPr>
          <w:rFonts w:cs="Arial"/>
          <w:b/>
          <w:szCs w:val="24"/>
        </w:rPr>
        <w:t>ctivity</w:t>
      </w:r>
    </w:p>
    <w:p w:rsidR="00226DA9" w:rsidRPr="00A03668" w:rsidRDefault="00FD7269" w:rsidP="00226DA9">
      <w:pPr>
        <w:pStyle w:val="ListParagraph"/>
        <w:spacing w:after="0" w:line="240" w:lineRule="auto"/>
        <w:ind w:left="0"/>
        <w:jc w:val="both"/>
        <w:rPr>
          <w:rFonts w:cs="Arial"/>
          <w:b/>
          <w:szCs w:val="24"/>
        </w:rPr>
      </w:pPr>
    </w:p>
    <w:p w:rsidR="00226DA9" w:rsidRDefault="00FC0C28" w:rsidP="00226DA9">
      <w:pPr>
        <w:jc w:val="both"/>
        <w:rPr>
          <w:rFonts w:cs="Arial"/>
          <w:szCs w:val="24"/>
        </w:rPr>
      </w:pPr>
      <w:r w:rsidRPr="00A03668">
        <w:rPr>
          <w:rFonts w:cs="Arial"/>
          <w:szCs w:val="24"/>
        </w:rPr>
        <w:t xml:space="preserve">Investments at 30 </w:t>
      </w:r>
      <w:r>
        <w:rPr>
          <w:rFonts w:cs="Arial"/>
          <w:szCs w:val="24"/>
        </w:rPr>
        <w:t>September 2019 totalled £595</w:t>
      </w:r>
      <w:r w:rsidRPr="00A03668">
        <w:rPr>
          <w:rFonts w:cs="Arial"/>
          <w:szCs w:val="24"/>
        </w:rPr>
        <w:t>m and consisted of £</w:t>
      </w:r>
      <w:r>
        <w:rPr>
          <w:rFonts w:cs="Arial"/>
          <w:szCs w:val="24"/>
        </w:rPr>
        <w:t>18</w:t>
      </w:r>
      <w:r w:rsidRPr="00A03668">
        <w:rPr>
          <w:rFonts w:cs="Arial"/>
          <w:szCs w:val="24"/>
        </w:rPr>
        <w:t xml:space="preserve">m in bank and local </w:t>
      </w:r>
      <w:r>
        <w:rPr>
          <w:rFonts w:cs="Arial"/>
          <w:szCs w:val="24"/>
        </w:rPr>
        <w:t>authority deposits and £577</w:t>
      </w:r>
      <w:r w:rsidRPr="00A03668">
        <w:rPr>
          <w:rFonts w:cs="Arial"/>
          <w:szCs w:val="24"/>
        </w:rPr>
        <w:t xml:space="preserve">m in corporate and government bonds. The following table shows the investment activity between 1 April and 30 </w:t>
      </w:r>
      <w:r>
        <w:rPr>
          <w:rFonts w:cs="Arial"/>
          <w:szCs w:val="24"/>
        </w:rPr>
        <w:t>September</w:t>
      </w:r>
      <w:r w:rsidRPr="00A03668">
        <w:rPr>
          <w:rFonts w:cs="Arial"/>
          <w:szCs w:val="24"/>
        </w:rPr>
        <w:t xml:space="preserve"> 2019.</w:t>
      </w:r>
      <w:r>
        <w:rPr>
          <w:rFonts w:cs="Arial"/>
          <w:szCs w:val="24"/>
        </w:rPr>
        <w:t xml:space="preserve"> </w:t>
      </w:r>
    </w:p>
    <w:p w:rsidR="00226DA9" w:rsidRPr="0098171A" w:rsidRDefault="00FD7269" w:rsidP="00226DA9">
      <w:pPr>
        <w:jc w:val="both"/>
        <w:rPr>
          <w:rFonts w:cs="Arial"/>
          <w:szCs w:val="24"/>
          <w:highlight w:val="green"/>
        </w:rPr>
      </w:pPr>
    </w:p>
    <w:tbl>
      <w:tblPr>
        <w:tblW w:w="9010" w:type="dxa"/>
        <w:tblInd w:w="-3" w:type="dxa"/>
        <w:tblCellMar>
          <w:left w:w="0" w:type="dxa"/>
          <w:right w:w="0" w:type="dxa"/>
        </w:tblCellMar>
        <w:tblLook w:val="04A0" w:firstRow="1" w:lastRow="0" w:firstColumn="1" w:lastColumn="0" w:noHBand="0" w:noVBand="1"/>
      </w:tblPr>
      <w:tblGrid>
        <w:gridCol w:w="3180"/>
        <w:gridCol w:w="1249"/>
        <w:gridCol w:w="1389"/>
        <w:gridCol w:w="1688"/>
        <w:gridCol w:w="1504"/>
      </w:tblGrid>
      <w:tr w:rsidR="008B7DB0" w:rsidTr="00226DA9">
        <w:trPr>
          <w:trHeight w:val="315"/>
        </w:trPr>
        <w:tc>
          <w:tcPr>
            <w:tcW w:w="318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226DA9" w:rsidRDefault="00FC0C28">
            <w:pPr>
              <w:rPr>
                <w:rFonts w:cs="Arial"/>
                <w:b/>
                <w:bCs/>
                <w:color w:val="000000"/>
                <w:szCs w:val="24"/>
              </w:rPr>
            </w:pPr>
            <w:r>
              <w:rPr>
                <w:rFonts w:cs="Arial"/>
                <w:b/>
                <w:bCs/>
                <w:color w:val="000000"/>
                <w:szCs w:val="24"/>
              </w:rPr>
              <w:t xml:space="preserve">Bank and Local Authority </w:t>
            </w:r>
          </w:p>
        </w:tc>
        <w:tc>
          <w:tcPr>
            <w:tcW w:w="124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Call</w:t>
            </w:r>
          </w:p>
        </w:tc>
        <w:tc>
          <w:tcPr>
            <w:tcW w:w="138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Fixed</w:t>
            </w:r>
          </w:p>
        </w:tc>
        <w:tc>
          <w:tcPr>
            <w:tcW w:w="1688"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226DA9" w:rsidRDefault="00FC0C28" w:rsidP="00226DA9">
            <w:pPr>
              <w:jc w:val="center"/>
              <w:rPr>
                <w:rFonts w:cs="Arial"/>
                <w:b/>
                <w:bCs/>
                <w:color w:val="000000"/>
                <w:szCs w:val="24"/>
              </w:rPr>
            </w:pPr>
            <w:r>
              <w:rPr>
                <w:rFonts w:cs="Arial"/>
                <w:b/>
                <w:bCs/>
                <w:color w:val="000000"/>
                <w:szCs w:val="24"/>
              </w:rPr>
              <w:t>  Other</w:t>
            </w:r>
          </w:p>
        </w:tc>
        <w:tc>
          <w:tcPr>
            <w:tcW w:w="150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 xml:space="preserve">     Total </w:t>
            </w:r>
          </w:p>
        </w:tc>
      </w:tr>
      <w:tr w:rsidR="008B7DB0" w:rsidTr="00226DA9">
        <w:trPr>
          <w:trHeight w:val="315"/>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6DA9" w:rsidRDefault="00FC0C28">
            <w:pPr>
              <w:jc w:val="both"/>
              <w:rPr>
                <w:rFonts w:cs="Arial"/>
                <w:b/>
                <w:bCs/>
                <w:color w:val="000000"/>
                <w:szCs w:val="24"/>
              </w:rPr>
            </w:pPr>
            <w:r>
              <w:rPr>
                <w:rFonts w:cs="Arial"/>
                <w:b/>
                <w:bCs/>
                <w:color w:val="000000"/>
                <w:szCs w:val="24"/>
              </w:rPr>
              <w:t>Deposits</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£m</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£m</w:t>
            </w:r>
          </w:p>
        </w:tc>
        <w:tc>
          <w:tcPr>
            <w:tcW w:w="16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£m</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6DA9" w:rsidRDefault="00FC0C28">
            <w:pPr>
              <w:jc w:val="center"/>
              <w:rPr>
                <w:rFonts w:cs="Arial"/>
                <w:b/>
                <w:bCs/>
                <w:color w:val="000000"/>
                <w:szCs w:val="24"/>
              </w:rPr>
            </w:pPr>
            <w:r>
              <w:rPr>
                <w:rFonts w:cs="Arial"/>
                <w:b/>
                <w:bCs/>
                <w:color w:val="000000"/>
                <w:szCs w:val="24"/>
              </w:rPr>
              <w:t>£m</w:t>
            </w:r>
          </w:p>
        </w:tc>
      </w:tr>
      <w:tr w:rsidR="008B7DB0" w:rsidTr="00226DA9">
        <w:trPr>
          <w:trHeight w:val="315"/>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6DA9" w:rsidRDefault="00FC0C28">
            <w:pPr>
              <w:jc w:val="both"/>
              <w:rPr>
                <w:rFonts w:cs="Arial"/>
                <w:b/>
                <w:bCs/>
                <w:color w:val="000000"/>
                <w:szCs w:val="24"/>
              </w:rPr>
            </w:pPr>
            <w:r>
              <w:rPr>
                <w:rFonts w:cs="Arial"/>
                <w:b/>
                <w:bCs/>
                <w:color w:val="000000"/>
                <w:szCs w:val="24"/>
              </w:rPr>
              <w:t>Balance 1 April 2019</w:t>
            </w:r>
          </w:p>
        </w:tc>
        <w:tc>
          <w:tcPr>
            <w:tcW w:w="12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46</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61</w:t>
            </w:r>
          </w:p>
        </w:tc>
        <w:tc>
          <w:tcPr>
            <w:tcW w:w="16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w:t>
            </w:r>
          </w:p>
        </w:tc>
        <w:tc>
          <w:tcPr>
            <w:tcW w:w="15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107</w:t>
            </w:r>
          </w:p>
        </w:tc>
      </w:tr>
      <w:tr w:rsidR="008B7DB0" w:rsidTr="00226DA9">
        <w:trPr>
          <w:trHeight w:val="300"/>
        </w:trPr>
        <w:tc>
          <w:tcPr>
            <w:tcW w:w="31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1D7CD7" w:rsidRDefault="00FD7269">
            <w:pPr>
              <w:jc w:val="both"/>
              <w:rPr>
                <w:rFonts w:cs="Arial"/>
                <w:color w:val="000000"/>
                <w:szCs w:val="24"/>
              </w:rPr>
            </w:pPr>
          </w:p>
          <w:p w:rsidR="00226DA9" w:rsidRDefault="00FC0C28">
            <w:pPr>
              <w:jc w:val="both"/>
              <w:rPr>
                <w:rFonts w:cs="Arial"/>
                <w:color w:val="000000"/>
                <w:szCs w:val="24"/>
              </w:rPr>
            </w:pPr>
            <w:r>
              <w:rPr>
                <w:rFonts w:cs="Arial"/>
                <w:color w:val="000000"/>
                <w:szCs w:val="24"/>
              </w:rPr>
              <w:t>Maturities</w:t>
            </w:r>
          </w:p>
        </w:tc>
        <w:tc>
          <w:tcPr>
            <w:tcW w:w="1249" w:type="dxa"/>
            <w:tcBorders>
              <w:top w:val="nil"/>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-47</w:t>
            </w:r>
          </w:p>
        </w:tc>
        <w:tc>
          <w:tcPr>
            <w:tcW w:w="1389" w:type="dxa"/>
            <w:tcBorders>
              <w:top w:val="nil"/>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-72</w:t>
            </w:r>
          </w:p>
        </w:tc>
        <w:tc>
          <w:tcPr>
            <w:tcW w:w="1688" w:type="dxa"/>
            <w:tcBorders>
              <w:top w:val="nil"/>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w:t>
            </w:r>
          </w:p>
        </w:tc>
        <w:tc>
          <w:tcPr>
            <w:tcW w:w="1504" w:type="dxa"/>
            <w:tcBorders>
              <w:top w:val="nil"/>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-119</w:t>
            </w:r>
          </w:p>
        </w:tc>
      </w:tr>
      <w:tr w:rsidR="008B7DB0" w:rsidTr="00226DA9">
        <w:trPr>
          <w:trHeight w:val="300"/>
        </w:trPr>
        <w:tc>
          <w:tcPr>
            <w:tcW w:w="31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26DA9" w:rsidRDefault="00FC0C28">
            <w:pPr>
              <w:jc w:val="both"/>
              <w:rPr>
                <w:rFonts w:cs="Arial"/>
                <w:color w:val="000000"/>
                <w:szCs w:val="24"/>
              </w:rPr>
            </w:pPr>
            <w:r>
              <w:rPr>
                <w:rFonts w:cs="Arial"/>
                <w:color w:val="000000"/>
                <w:szCs w:val="24"/>
              </w:rPr>
              <w:t>New Investments</w:t>
            </w:r>
          </w:p>
        </w:tc>
        <w:tc>
          <w:tcPr>
            <w:tcW w:w="1249" w:type="dxa"/>
            <w:tcBorders>
              <w:top w:val="nil"/>
              <w:left w:val="nil"/>
              <w:bottom w:val="nil"/>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8</w:t>
            </w:r>
          </w:p>
        </w:tc>
        <w:tc>
          <w:tcPr>
            <w:tcW w:w="1389" w:type="dxa"/>
            <w:tcBorders>
              <w:top w:val="nil"/>
              <w:left w:val="nil"/>
              <w:bottom w:val="nil"/>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22</w:t>
            </w:r>
          </w:p>
        </w:tc>
        <w:tc>
          <w:tcPr>
            <w:tcW w:w="1688" w:type="dxa"/>
            <w:tcBorders>
              <w:top w:val="nil"/>
              <w:left w:val="nil"/>
              <w:bottom w:val="nil"/>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w:t>
            </w:r>
          </w:p>
        </w:tc>
        <w:tc>
          <w:tcPr>
            <w:tcW w:w="1504" w:type="dxa"/>
            <w:tcBorders>
              <w:top w:val="nil"/>
              <w:left w:val="nil"/>
              <w:bottom w:val="nil"/>
              <w:right w:val="single" w:sz="8" w:space="0" w:color="auto"/>
            </w:tcBorders>
            <w:noWrap/>
            <w:tcMar>
              <w:top w:w="0" w:type="dxa"/>
              <w:left w:w="108" w:type="dxa"/>
              <w:bottom w:w="0" w:type="dxa"/>
              <w:right w:w="108" w:type="dxa"/>
            </w:tcMar>
            <w:vAlign w:val="center"/>
            <w:hideMark/>
          </w:tcPr>
          <w:p w:rsidR="001D7CD7" w:rsidRDefault="00FD7269" w:rsidP="00226DA9">
            <w:pPr>
              <w:jc w:val="right"/>
              <w:rPr>
                <w:rFonts w:cs="Arial"/>
                <w:color w:val="000000"/>
                <w:szCs w:val="24"/>
              </w:rPr>
            </w:pPr>
          </w:p>
          <w:p w:rsidR="00226DA9" w:rsidRDefault="00FC0C28" w:rsidP="00226DA9">
            <w:pPr>
              <w:jc w:val="right"/>
              <w:rPr>
                <w:rFonts w:cs="Arial"/>
                <w:color w:val="000000"/>
                <w:szCs w:val="24"/>
              </w:rPr>
            </w:pPr>
            <w:r>
              <w:rPr>
                <w:rFonts w:cs="Arial"/>
                <w:color w:val="000000"/>
                <w:szCs w:val="24"/>
              </w:rPr>
              <w:t>30</w:t>
            </w:r>
          </w:p>
          <w:p w:rsidR="00226DA9" w:rsidRDefault="00FD7269" w:rsidP="00226DA9">
            <w:pPr>
              <w:jc w:val="right"/>
              <w:rPr>
                <w:rFonts w:cs="Arial"/>
                <w:color w:val="000000"/>
                <w:szCs w:val="24"/>
              </w:rPr>
            </w:pPr>
          </w:p>
        </w:tc>
      </w:tr>
      <w:tr w:rsidR="008B7DB0" w:rsidTr="001D7CD7">
        <w:trPr>
          <w:trHeight w:val="315"/>
        </w:trPr>
        <w:tc>
          <w:tcPr>
            <w:tcW w:w="3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both"/>
              <w:rPr>
                <w:rFonts w:cs="Arial"/>
                <w:b/>
                <w:bCs/>
                <w:color w:val="000000"/>
                <w:szCs w:val="24"/>
              </w:rPr>
            </w:pPr>
            <w:r>
              <w:rPr>
                <w:rFonts w:cs="Arial"/>
                <w:b/>
                <w:bCs/>
                <w:color w:val="000000"/>
                <w:szCs w:val="24"/>
              </w:rPr>
              <w:t>Balance 30 September 2019</w:t>
            </w:r>
          </w:p>
        </w:tc>
        <w:tc>
          <w:tcPr>
            <w:tcW w:w="12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7</w:t>
            </w:r>
          </w:p>
        </w:tc>
        <w:tc>
          <w:tcPr>
            <w:tcW w:w="13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11</w:t>
            </w:r>
          </w:p>
        </w:tc>
        <w:tc>
          <w:tcPr>
            <w:tcW w:w="16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w:t>
            </w:r>
          </w:p>
        </w:tc>
        <w:tc>
          <w:tcPr>
            <w:tcW w:w="15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18</w:t>
            </w:r>
          </w:p>
        </w:tc>
      </w:tr>
      <w:tr w:rsidR="008B7DB0" w:rsidTr="001D7CD7">
        <w:trPr>
          <w:trHeight w:val="315"/>
        </w:trPr>
        <w:tc>
          <w:tcPr>
            <w:tcW w:w="318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226DA9" w:rsidRDefault="00FC0C28">
            <w:pPr>
              <w:rPr>
                <w:rFonts w:cs="Arial"/>
                <w:b/>
                <w:bCs/>
                <w:color w:val="000000"/>
                <w:szCs w:val="24"/>
              </w:rPr>
            </w:pPr>
            <w:r>
              <w:rPr>
                <w:rFonts w:cs="Arial"/>
                <w:b/>
                <w:bCs/>
                <w:color w:val="000000"/>
                <w:szCs w:val="24"/>
              </w:rPr>
              <w:lastRenderedPageBreak/>
              <w:t>Bonds</w:t>
            </w:r>
          </w:p>
        </w:tc>
        <w:tc>
          <w:tcPr>
            <w:tcW w:w="124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Local authority</w:t>
            </w:r>
          </w:p>
        </w:tc>
        <w:tc>
          <w:tcPr>
            <w:tcW w:w="138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Gilts</w:t>
            </w:r>
          </w:p>
        </w:tc>
        <w:tc>
          <w:tcPr>
            <w:tcW w:w="168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Others</w:t>
            </w:r>
          </w:p>
        </w:tc>
        <w:tc>
          <w:tcPr>
            <w:tcW w:w="1504"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 xml:space="preserve">Total </w:t>
            </w:r>
          </w:p>
        </w:tc>
      </w:tr>
      <w:tr w:rsidR="008B7DB0" w:rsidTr="00226DA9">
        <w:trPr>
          <w:trHeight w:val="315"/>
        </w:trPr>
        <w:tc>
          <w:tcPr>
            <w:tcW w:w="31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226DA9" w:rsidRDefault="00FC0C28">
            <w:pPr>
              <w:rPr>
                <w:rFonts w:ascii="Times New Roman" w:hAnsi="Times New Roman"/>
                <w:color w:val="000000"/>
                <w:szCs w:val="24"/>
              </w:rPr>
            </w:pPr>
            <w:r>
              <w:rPr>
                <w:rFonts w:ascii="Times New Roman" w:hAnsi="Times New Roman"/>
                <w:color w:val="000000"/>
                <w:szCs w:val="24"/>
              </w:rPr>
              <w:t> </w:t>
            </w:r>
          </w:p>
        </w:tc>
        <w:tc>
          <w:tcPr>
            <w:tcW w:w="124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£m</w:t>
            </w:r>
          </w:p>
        </w:tc>
        <w:tc>
          <w:tcPr>
            <w:tcW w:w="138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£m</w:t>
            </w:r>
          </w:p>
        </w:tc>
        <w:tc>
          <w:tcPr>
            <w:tcW w:w="168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£m</w:t>
            </w:r>
          </w:p>
        </w:tc>
        <w:tc>
          <w:tcPr>
            <w:tcW w:w="150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pPr>
              <w:jc w:val="center"/>
              <w:rPr>
                <w:rFonts w:cs="Arial"/>
                <w:b/>
                <w:bCs/>
                <w:color w:val="000000"/>
                <w:szCs w:val="24"/>
              </w:rPr>
            </w:pPr>
            <w:r>
              <w:rPr>
                <w:rFonts w:cs="Arial"/>
                <w:b/>
                <w:bCs/>
                <w:color w:val="000000"/>
                <w:szCs w:val="24"/>
              </w:rPr>
              <w:t>£m</w:t>
            </w:r>
          </w:p>
        </w:tc>
      </w:tr>
      <w:tr w:rsidR="008B7DB0" w:rsidTr="00226DA9">
        <w:trPr>
          <w:trHeight w:val="315"/>
        </w:trPr>
        <w:tc>
          <w:tcPr>
            <w:tcW w:w="3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pPr>
              <w:jc w:val="both"/>
              <w:rPr>
                <w:rFonts w:cs="Arial"/>
                <w:b/>
                <w:bCs/>
                <w:color w:val="000000"/>
                <w:szCs w:val="24"/>
              </w:rPr>
            </w:pPr>
            <w:r>
              <w:rPr>
                <w:rFonts w:cs="Arial"/>
                <w:b/>
                <w:bCs/>
                <w:color w:val="000000"/>
                <w:szCs w:val="24"/>
              </w:rPr>
              <w:t>Balance 1 April 2019</w:t>
            </w:r>
          </w:p>
        </w:tc>
        <w:tc>
          <w:tcPr>
            <w:tcW w:w="12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33</w:t>
            </w:r>
          </w:p>
        </w:tc>
        <w:tc>
          <w:tcPr>
            <w:tcW w:w="13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84</w:t>
            </w:r>
          </w:p>
        </w:tc>
        <w:tc>
          <w:tcPr>
            <w:tcW w:w="16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199</w:t>
            </w:r>
          </w:p>
        </w:tc>
        <w:tc>
          <w:tcPr>
            <w:tcW w:w="15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316</w:t>
            </w:r>
          </w:p>
        </w:tc>
      </w:tr>
      <w:tr w:rsidR="008B7DB0" w:rsidTr="00226DA9">
        <w:trPr>
          <w:trHeight w:val="300"/>
        </w:trPr>
        <w:tc>
          <w:tcPr>
            <w:tcW w:w="3180" w:type="dxa"/>
            <w:tcBorders>
              <w:top w:val="single" w:sz="4"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226DA9" w:rsidRDefault="00FC0C28">
            <w:pPr>
              <w:jc w:val="both"/>
              <w:rPr>
                <w:rFonts w:cs="Arial"/>
                <w:color w:val="000000"/>
                <w:szCs w:val="24"/>
              </w:rPr>
            </w:pPr>
            <w:r>
              <w:rPr>
                <w:rFonts w:cs="Arial"/>
                <w:color w:val="000000"/>
                <w:szCs w:val="24"/>
              </w:rPr>
              <w:t>Maturities and sales</w:t>
            </w:r>
          </w:p>
        </w:tc>
        <w:tc>
          <w:tcPr>
            <w:tcW w:w="1249" w:type="dxa"/>
            <w:tcBorders>
              <w:top w:val="single" w:sz="4" w:space="0" w:color="auto"/>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-1</w:t>
            </w:r>
          </w:p>
        </w:tc>
        <w:tc>
          <w:tcPr>
            <w:tcW w:w="1389" w:type="dxa"/>
            <w:tcBorders>
              <w:top w:val="single" w:sz="4" w:space="0" w:color="auto"/>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-2,125</w:t>
            </w:r>
          </w:p>
        </w:tc>
        <w:tc>
          <w:tcPr>
            <w:tcW w:w="1688" w:type="dxa"/>
            <w:tcBorders>
              <w:top w:val="single" w:sz="4" w:space="0" w:color="auto"/>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-385</w:t>
            </w:r>
          </w:p>
        </w:tc>
        <w:tc>
          <w:tcPr>
            <w:tcW w:w="1504" w:type="dxa"/>
            <w:tcBorders>
              <w:top w:val="single" w:sz="4" w:space="0" w:color="auto"/>
              <w:left w:val="nil"/>
              <w:bottom w:val="nil"/>
              <w:right w:val="single" w:sz="8" w:space="0" w:color="auto"/>
            </w:tcBorders>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-2,511</w:t>
            </w:r>
          </w:p>
        </w:tc>
      </w:tr>
      <w:tr w:rsidR="008B7DB0" w:rsidTr="00226DA9">
        <w:trPr>
          <w:trHeight w:val="300"/>
        </w:trPr>
        <w:tc>
          <w:tcPr>
            <w:tcW w:w="318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226DA9" w:rsidRDefault="00FC0C28">
            <w:pPr>
              <w:jc w:val="both"/>
              <w:rPr>
                <w:rFonts w:cs="Arial"/>
                <w:color w:val="000000"/>
                <w:szCs w:val="24"/>
              </w:rPr>
            </w:pPr>
            <w:r>
              <w:rPr>
                <w:rFonts w:cs="Arial"/>
                <w:color w:val="000000"/>
                <w:szCs w:val="24"/>
              </w:rPr>
              <w:t>New investments</w:t>
            </w:r>
          </w:p>
        </w:tc>
        <w:tc>
          <w:tcPr>
            <w:tcW w:w="124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0</w:t>
            </w:r>
          </w:p>
        </w:tc>
        <w:tc>
          <w:tcPr>
            <w:tcW w:w="138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2,265</w:t>
            </w:r>
          </w:p>
        </w:tc>
        <w:tc>
          <w:tcPr>
            <w:tcW w:w="168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507</w:t>
            </w:r>
          </w:p>
        </w:tc>
        <w:tc>
          <w:tcPr>
            <w:tcW w:w="150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26DA9" w:rsidRDefault="00FC0C28" w:rsidP="00226DA9">
            <w:pPr>
              <w:jc w:val="right"/>
              <w:rPr>
                <w:rFonts w:cs="Arial"/>
                <w:color w:val="000000"/>
                <w:szCs w:val="24"/>
              </w:rPr>
            </w:pPr>
            <w:r>
              <w:rPr>
                <w:rFonts w:cs="Arial"/>
                <w:color w:val="000000"/>
                <w:szCs w:val="24"/>
              </w:rPr>
              <w:t>2,772</w:t>
            </w:r>
          </w:p>
        </w:tc>
      </w:tr>
      <w:tr w:rsidR="008B7DB0" w:rsidTr="00226DA9">
        <w:trPr>
          <w:trHeight w:val="315"/>
        </w:trPr>
        <w:tc>
          <w:tcPr>
            <w:tcW w:w="3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both"/>
              <w:rPr>
                <w:rFonts w:cs="Arial"/>
                <w:b/>
                <w:bCs/>
                <w:color w:val="000000"/>
                <w:szCs w:val="24"/>
              </w:rPr>
            </w:pPr>
            <w:r>
              <w:rPr>
                <w:rFonts w:cs="Arial"/>
                <w:b/>
                <w:bCs/>
                <w:color w:val="000000"/>
                <w:szCs w:val="24"/>
              </w:rPr>
              <w:t>Balance 30 September 2019</w:t>
            </w:r>
          </w:p>
        </w:tc>
        <w:tc>
          <w:tcPr>
            <w:tcW w:w="12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32</w:t>
            </w:r>
          </w:p>
        </w:tc>
        <w:tc>
          <w:tcPr>
            <w:tcW w:w="13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224</w:t>
            </w:r>
          </w:p>
        </w:tc>
        <w:tc>
          <w:tcPr>
            <w:tcW w:w="16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321</w:t>
            </w:r>
          </w:p>
        </w:tc>
        <w:tc>
          <w:tcPr>
            <w:tcW w:w="15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26DA9" w:rsidRDefault="00FC0C28" w:rsidP="00226DA9">
            <w:pPr>
              <w:jc w:val="right"/>
              <w:rPr>
                <w:rFonts w:cs="Arial"/>
                <w:b/>
                <w:bCs/>
                <w:color w:val="000000"/>
                <w:szCs w:val="24"/>
              </w:rPr>
            </w:pPr>
            <w:r>
              <w:rPr>
                <w:rFonts w:cs="Arial"/>
                <w:b/>
                <w:bCs/>
                <w:color w:val="000000"/>
                <w:szCs w:val="24"/>
              </w:rPr>
              <w:t>577</w:t>
            </w:r>
          </w:p>
        </w:tc>
      </w:tr>
    </w:tbl>
    <w:p w:rsidR="00226DA9" w:rsidRPr="0098171A" w:rsidRDefault="00FD7269" w:rsidP="00226DA9">
      <w:pPr>
        <w:jc w:val="both"/>
        <w:rPr>
          <w:rFonts w:cs="Arial"/>
          <w:color w:val="000000"/>
          <w:szCs w:val="24"/>
          <w:highlight w:val="green"/>
        </w:rPr>
      </w:pPr>
    </w:p>
    <w:p w:rsidR="00226DA9" w:rsidRPr="00797EDE" w:rsidRDefault="00FC0C28" w:rsidP="00226DA9">
      <w:pPr>
        <w:jc w:val="both"/>
        <w:rPr>
          <w:rFonts w:cs="Arial"/>
          <w:color w:val="000000"/>
          <w:szCs w:val="24"/>
        </w:rPr>
      </w:pPr>
      <w:r w:rsidRPr="00797EDE">
        <w:rPr>
          <w:rFonts w:cs="Arial"/>
          <w:color w:val="000000"/>
          <w:szCs w:val="24"/>
        </w:rPr>
        <w:t>The period saw some significant volatility in the price of the Gilts held. This resulted in the opportunity being taken to sell some of the holdings to enhance the overall return on the investments</w:t>
      </w:r>
      <w:r>
        <w:rPr>
          <w:rFonts w:cs="Arial"/>
          <w:color w:val="000000"/>
          <w:szCs w:val="24"/>
        </w:rPr>
        <w:t xml:space="preserve"> and is reflected in the level of new investments during the period</w:t>
      </w:r>
      <w:r w:rsidRPr="00797EDE">
        <w:rPr>
          <w:rFonts w:cs="Arial"/>
          <w:color w:val="000000"/>
          <w:szCs w:val="24"/>
        </w:rPr>
        <w:t xml:space="preserve">. </w:t>
      </w:r>
    </w:p>
    <w:p w:rsidR="00226DA9" w:rsidRPr="00797EDE" w:rsidRDefault="00FD7269" w:rsidP="00226DA9">
      <w:pPr>
        <w:jc w:val="both"/>
        <w:rPr>
          <w:rFonts w:cs="Arial"/>
          <w:szCs w:val="24"/>
        </w:rPr>
      </w:pPr>
    </w:p>
    <w:p w:rsidR="00226DA9" w:rsidRPr="00734CFD" w:rsidRDefault="00FC0C28" w:rsidP="00226DA9">
      <w:pPr>
        <w:jc w:val="both"/>
        <w:rPr>
          <w:rFonts w:cs="Arial"/>
          <w:szCs w:val="24"/>
        </w:rPr>
      </w:pPr>
      <w:r w:rsidRPr="00797EDE">
        <w:rPr>
          <w:rFonts w:cs="Arial"/>
          <w:szCs w:val="24"/>
        </w:rPr>
        <w:t xml:space="preserve">The current rate of return on the investment portfolio measured by </w:t>
      </w:r>
      <w:proofErr w:type="spellStart"/>
      <w:r w:rsidRPr="00797EDE">
        <w:rPr>
          <w:rFonts w:cs="Arial"/>
          <w:szCs w:val="24"/>
        </w:rPr>
        <w:t>Arlingclose</w:t>
      </w:r>
      <w:proofErr w:type="spellEnd"/>
      <w:r w:rsidRPr="00797EDE">
        <w:rPr>
          <w:rFonts w:cs="Arial"/>
          <w:szCs w:val="24"/>
        </w:rPr>
        <w:t xml:space="preserve"> is </w:t>
      </w:r>
      <w:r w:rsidRPr="00740504">
        <w:rPr>
          <w:rFonts w:cs="Arial"/>
          <w:szCs w:val="24"/>
        </w:rPr>
        <w:t xml:space="preserve">1.37% which compares favourably with the benchmark 7 day money market rate that </w:t>
      </w:r>
      <w:r w:rsidRPr="006D4FCE">
        <w:rPr>
          <w:rFonts w:cs="Arial"/>
          <w:szCs w:val="24"/>
        </w:rPr>
        <w:t>averaged 0.68%</w:t>
      </w:r>
      <w:r w:rsidRPr="00740504">
        <w:rPr>
          <w:rFonts w:cs="Arial"/>
          <w:szCs w:val="24"/>
        </w:rPr>
        <w:t xml:space="preserve"> over the same period.</w:t>
      </w:r>
    </w:p>
    <w:p w:rsidR="00226DA9" w:rsidRPr="0098171A" w:rsidRDefault="00FD7269" w:rsidP="00226DA9">
      <w:pPr>
        <w:ind w:hanging="11"/>
        <w:jc w:val="both"/>
        <w:rPr>
          <w:rFonts w:cs="Arial"/>
          <w:b/>
          <w:szCs w:val="24"/>
          <w:highlight w:val="green"/>
        </w:rPr>
      </w:pPr>
    </w:p>
    <w:p w:rsidR="00226DA9" w:rsidRPr="00A03668" w:rsidRDefault="00FC0C28" w:rsidP="00226DA9">
      <w:pPr>
        <w:ind w:hanging="11"/>
        <w:jc w:val="both"/>
        <w:rPr>
          <w:rFonts w:cs="Arial"/>
          <w:b/>
          <w:szCs w:val="24"/>
        </w:rPr>
      </w:pPr>
      <w:r w:rsidRPr="00A03668">
        <w:rPr>
          <w:rFonts w:cs="Arial"/>
          <w:b/>
          <w:szCs w:val="24"/>
        </w:rPr>
        <w:t>Borrowing activity</w:t>
      </w:r>
    </w:p>
    <w:p w:rsidR="00226DA9" w:rsidRPr="00A03668" w:rsidRDefault="00FD7269" w:rsidP="00226DA9">
      <w:pPr>
        <w:ind w:hanging="11"/>
        <w:jc w:val="both"/>
        <w:rPr>
          <w:rFonts w:cs="Arial"/>
          <w:b/>
          <w:szCs w:val="24"/>
        </w:rPr>
      </w:pPr>
    </w:p>
    <w:p w:rsidR="00226DA9" w:rsidRDefault="00FC0C28" w:rsidP="00226DA9">
      <w:pPr>
        <w:ind w:hanging="11"/>
        <w:jc w:val="both"/>
        <w:rPr>
          <w:rFonts w:cs="Arial"/>
          <w:szCs w:val="24"/>
        </w:rPr>
      </w:pPr>
      <w:r w:rsidRPr="00A03668">
        <w:rPr>
          <w:rFonts w:cs="Arial"/>
          <w:szCs w:val="24"/>
        </w:rPr>
        <w:t xml:space="preserve">The council's capital programme includes a requirement to borrow to fund new capital investment. The table below summarises the borrowing activity which has taken place between 1 April and 30 </w:t>
      </w:r>
      <w:r>
        <w:rPr>
          <w:rFonts w:cs="Arial"/>
          <w:szCs w:val="24"/>
        </w:rPr>
        <w:t>September</w:t>
      </w:r>
      <w:r w:rsidRPr="00A03668">
        <w:rPr>
          <w:rFonts w:cs="Arial"/>
          <w:szCs w:val="24"/>
        </w:rPr>
        <w:t xml:space="preserve"> 2019.</w:t>
      </w:r>
    </w:p>
    <w:p w:rsidR="00226DA9" w:rsidRPr="00A03668" w:rsidRDefault="00FD7269" w:rsidP="00226DA9">
      <w:pPr>
        <w:ind w:hanging="11"/>
        <w:jc w:val="both"/>
        <w:rPr>
          <w:rFonts w:cs="Arial"/>
          <w:szCs w:val="24"/>
        </w:rPr>
      </w:pPr>
    </w:p>
    <w:tbl>
      <w:tblPr>
        <w:tblStyle w:val="TableGrid"/>
        <w:tblW w:w="8693" w:type="dxa"/>
        <w:tblLook w:val="04A0" w:firstRow="1" w:lastRow="0" w:firstColumn="1" w:lastColumn="0" w:noHBand="0" w:noVBand="1"/>
      </w:tblPr>
      <w:tblGrid>
        <w:gridCol w:w="1991"/>
        <w:gridCol w:w="1174"/>
        <w:gridCol w:w="1150"/>
        <w:gridCol w:w="1443"/>
        <w:gridCol w:w="1484"/>
        <w:gridCol w:w="1451"/>
      </w:tblGrid>
      <w:tr w:rsidR="008B7DB0" w:rsidTr="00226DA9">
        <w:trPr>
          <w:trHeight w:val="1211"/>
        </w:trPr>
        <w:tc>
          <w:tcPr>
            <w:tcW w:w="1991" w:type="dxa"/>
            <w:hideMark/>
          </w:tcPr>
          <w:p w:rsidR="00226DA9" w:rsidRPr="0029684D" w:rsidRDefault="00FC0C28">
            <w:pPr>
              <w:rPr>
                <w:rFonts w:cs="Arial"/>
                <w:b/>
                <w:bCs/>
                <w:color w:val="000000"/>
                <w:szCs w:val="24"/>
                <w:u w:val="single"/>
              </w:rPr>
            </w:pPr>
            <w:r w:rsidRPr="0029684D">
              <w:rPr>
                <w:rFonts w:cs="Arial"/>
                <w:b/>
                <w:bCs/>
                <w:color w:val="000000"/>
                <w:szCs w:val="24"/>
                <w:u w:val="single"/>
              </w:rPr>
              <w:t>Borrowing</w:t>
            </w:r>
          </w:p>
        </w:tc>
        <w:tc>
          <w:tcPr>
            <w:tcW w:w="1174" w:type="dxa"/>
            <w:hideMark/>
          </w:tcPr>
          <w:p w:rsidR="00226DA9" w:rsidRPr="0029684D" w:rsidRDefault="00FC0C28">
            <w:pPr>
              <w:jc w:val="center"/>
              <w:rPr>
                <w:rFonts w:cs="Arial"/>
                <w:b/>
                <w:bCs/>
                <w:color w:val="000000"/>
                <w:szCs w:val="24"/>
              </w:rPr>
            </w:pPr>
            <w:r w:rsidRPr="0029684D">
              <w:rPr>
                <w:rFonts w:cs="Arial"/>
                <w:b/>
                <w:bCs/>
                <w:color w:val="000000"/>
                <w:szCs w:val="24"/>
              </w:rPr>
              <w:t>P</w:t>
            </w:r>
            <w:r>
              <w:rPr>
                <w:rFonts w:cs="Arial"/>
                <w:b/>
                <w:bCs/>
                <w:color w:val="000000"/>
                <w:szCs w:val="24"/>
              </w:rPr>
              <w:t xml:space="preserve">ublic </w:t>
            </w:r>
            <w:r w:rsidRPr="0029684D">
              <w:rPr>
                <w:rFonts w:cs="Arial"/>
                <w:b/>
                <w:bCs/>
                <w:color w:val="000000"/>
                <w:szCs w:val="24"/>
              </w:rPr>
              <w:t>W</w:t>
            </w:r>
            <w:r>
              <w:rPr>
                <w:rFonts w:cs="Arial"/>
                <w:b/>
                <w:bCs/>
                <w:color w:val="000000"/>
                <w:szCs w:val="24"/>
              </w:rPr>
              <w:t xml:space="preserve">orks </w:t>
            </w:r>
            <w:r w:rsidRPr="0029684D">
              <w:rPr>
                <w:rFonts w:cs="Arial"/>
                <w:b/>
                <w:bCs/>
                <w:color w:val="000000"/>
                <w:szCs w:val="24"/>
              </w:rPr>
              <w:t>L</w:t>
            </w:r>
            <w:r>
              <w:rPr>
                <w:rFonts w:cs="Arial"/>
                <w:b/>
                <w:bCs/>
                <w:color w:val="000000"/>
                <w:szCs w:val="24"/>
              </w:rPr>
              <w:t xml:space="preserve">oan </w:t>
            </w:r>
            <w:r w:rsidRPr="0029684D">
              <w:rPr>
                <w:rFonts w:cs="Arial"/>
                <w:b/>
                <w:bCs/>
                <w:color w:val="000000"/>
                <w:szCs w:val="24"/>
              </w:rPr>
              <w:t>B</w:t>
            </w:r>
            <w:r>
              <w:rPr>
                <w:rFonts w:cs="Arial"/>
                <w:b/>
                <w:bCs/>
                <w:color w:val="000000"/>
                <w:szCs w:val="24"/>
              </w:rPr>
              <w:t>oard</w:t>
            </w:r>
            <w:r w:rsidRPr="0029684D">
              <w:rPr>
                <w:rFonts w:cs="Arial"/>
                <w:b/>
                <w:bCs/>
                <w:color w:val="000000"/>
                <w:szCs w:val="24"/>
              </w:rPr>
              <w:t xml:space="preserve"> Fixed</w:t>
            </w:r>
          </w:p>
        </w:tc>
        <w:tc>
          <w:tcPr>
            <w:tcW w:w="1150" w:type="dxa"/>
            <w:hideMark/>
          </w:tcPr>
          <w:p w:rsidR="00226DA9" w:rsidRPr="0029684D" w:rsidRDefault="00FC0C28">
            <w:pPr>
              <w:jc w:val="center"/>
              <w:rPr>
                <w:rFonts w:cs="Arial"/>
                <w:b/>
                <w:bCs/>
                <w:color w:val="000000"/>
                <w:szCs w:val="24"/>
              </w:rPr>
            </w:pPr>
            <w:r w:rsidRPr="0029684D">
              <w:rPr>
                <w:rFonts w:cs="Arial"/>
                <w:b/>
                <w:bCs/>
                <w:color w:val="000000"/>
                <w:szCs w:val="24"/>
              </w:rPr>
              <w:t>P</w:t>
            </w:r>
            <w:r>
              <w:rPr>
                <w:rFonts w:cs="Arial"/>
                <w:b/>
                <w:bCs/>
                <w:color w:val="000000"/>
                <w:szCs w:val="24"/>
              </w:rPr>
              <w:t xml:space="preserve">ublic </w:t>
            </w:r>
            <w:r w:rsidRPr="0029684D">
              <w:rPr>
                <w:rFonts w:cs="Arial"/>
                <w:b/>
                <w:bCs/>
                <w:color w:val="000000"/>
                <w:szCs w:val="24"/>
              </w:rPr>
              <w:t>W</w:t>
            </w:r>
            <w:r>
              <w:rPr>
                <w:rFonts w:cs="Arial"/>
                <w:b/>
                <w:bCs/>
                <w:color w:val="000000"/>
                <w:szCs w:val="24"/>
              </w:rPr>
              <w:t xml:space="preserve">orks </w:t>
            </w:r>
            <w:r w:rsidRPr="0029684D">
              <w:rPr>
                <w:rFonts w:cs="Arial"/>
                <w:b/>
                <w:bCs/>
                <w:color w:val="000000"/>
                <w:szCs w:val="24"/>
              </w:rPr>
              <w:t>L</w:t>
            </w:r>
            <w:r>
              <w:rPr>
                <w:rFonts w:cs="Arial"/>
                <w:b/>
                <w:bCs/>
                <w:color w:val="000000"/>
                <w:szCs w:val="24"/>
              </w:rPr>
              <w:t xml:space="preserve">oan </w:t>
            </w:r>
            <w:r w:rsidRPr="0029684D">
              <w:rPr>
                <w:rFonts w:cs="Arial"/>
                <w:b/>
                <w:bCs/>
                <w:color w:val="000000"/>
                <w:szCs w:val="24"/>
              </w:rPr>
              <w:t>B</w:t>
            </w:r>
            <w:r>
              <w:rPr>
                <w:rFonts w:cs="Arial"/>
                <w:b/>
                <w:bCs/>
                <w:color w:val="000000"/>
                <w:szCs w:val="24"/>
              </w:rPr>
              <w:t>oard</w:t>
            </w:r>
            <w:r w:rsidRPr="0029684D">
              <w:rPr>
                <w:rFonts w:cs="Arial"/>
                <w:b/>
                <w:bCs/>
                <w:color w:val="000000"/>
                <w:szCs w:val="24"/>
              </w:rPr>
              <w:t xml:space="preserve"> Variable</w:t>
            </w:r>
          </w:p>
        </w:tc>
        <w:tc>
          <w:tcPr>
            <w:tcW w:w="1443" w:type="dxa"/>
            <w:hideMark/>
          </w:tcPr>
          <w:p w:rsidR="00226DA9" w:rsidRPr="0029684D" w:rsidRDefault="00FC0C28" w:rsidP="00226DA9">
            <w:pPr>
              <w:jc w:val="center"/>
              <w:rPr>
                <w:rFonts w:cs="Arial"/>
                <w:b/>
                <w:bCs/>
                <w:color w:val="000000"/>
                <w:szCs w:val="24"/>
              </w:rPr>
            </w:pPr>
            <w:r w:rsidRPr="0029684D">
              <w:rPr>
                <w:rFonts w:cs="Arial"/>
                <w:b/>
                <w:bCs/>
                <w:color w:val="000000"/>
                <w:szCs w:val="24"/>
              </w:rPr>
              <w:t>Other Local authorities</w:t>
            </w:r>
          </w:p>
        </w:tc>
        <w:tc>
          <w:tcPr>
            <w:tcW w:w="1484" w:type="dxa"/>
            <w:hideMark/>
          </w:tcPr>
          <w:p w:rsidR="00226DA9" w:rsidRPr="0029684D" w:rsidRDefault="00FC0C28">
            <w:pPr>
              <w:jc w:val="center"/>
              <w:rPr>
                <w:rFonts w:cs="Arial"/>
                <w:b/>
                <w:bCs/>
                <w:color w:val="000000"/>
                <w:szCs w:val="24"/>
              </w:rPr>
            </w:pPr>
            <w:r w:rsidRPr="0029684D">
              <w:rPr>
                <w:rFonts w:cs="Arial"/>
                <w:b/>
                <w:bCs/>
                <w:color w:val="000000"/>
                <w:szCs w:val="24"/>
              </w:rPr>
              <w:t>Police, Fire &amp; Lancashire District Councils</w:t>
            </w:r>
          </w:p>
        </w:tc>
        <w:tc>
          <w:tcPr>
            <w:tcW w:w="1451" w:type="dxa"/>
            <w:hideMark/>
          </w:tcPr>
          <w:p w:rsidR="00226DA9" w:rsidRPr="0029684D" w:rsidRDefault="00FC0C28">
            <w:pPr>
              <w:jc w:val="center"/>
              <w:rPr>
                <w:rFonts w:cs="Arial"/>
                <w:b/>
                <w:bCs/>
                <w:color w:val="000000"/>
                <w:szCs w:val="24"/>
              </w:rPr>
            </w:pPr>
            <w:r w:rsidRPr="0029684D">
              <w:rPr>
                <w:rFonts w:cs="Arial"/>
                <w:b/>
                <w:bCs/>
                <w:color w:val="000000"/>
                <w:szCs w:val="24"/>
              </w:rPr>
              <w:t xml:space="preserve">Total </w:t>
            </w:r>
          </w:p>
        </w:tc>
      </w:tr>
      <w:tr w:rsidR="008B7DB0" w:rsidTr="00226DA9">
        <w:trPr>
          <w:trHeight w:val="315"/>
        </w:trPr>
        <w:tc>
          <w:tcPr>
            <w:tcW w:w="1991" w:type="dxa"/>
            <w:noWrap/>
            <w:hideMark/>
          </w:tcPr>
          <w:p w:rsidR="00226DA9" w:rsidRPr="0029684D" w:rsidRDefault="00FC0C28">
            <w:pPr>
              <w:rPr>
                <w:rFonts w:cs="Arial"/>
                <w:b/>
                <w:bCs/>
                <w:color w:val="000000"/>
                <w:szCs w:val="24"/>
              </w:rPr>
            </w:pPr>
            <w:r w:rsidRPr="0029684D">
              <w:rPr>
                <w:rFonts w:cs="Arial"/>
                <w:b/>
                <w:bCs/>
                <w:color w:val="000000"/>
                <w:szCs w:val="24"/>
              </w:rPr>
              <w:t> </w:t>
            </w:r>
          </w:p>
        </w:tc>
        <w:tc>
          <w:tcPr>
            <w:tcW w:w="1174" w:type="dxa"/>
            <w:noWrap/>
            <w:hideMark/>
          </w:tcPr>
          <w:p w:rsidR="00226DA9" w:rsidRPr="0029684D" w:rsidRDefault="00FC0C28">
            <w:pPr>
              <w:jc w:val="center"/>
              <w:rPr>
                <w:rFonts w:cs="Arial"/>
                <w:b/>
                <w:bCs/>
                <w:color w:val="000000"/>
                <w:szCs w:val="24"/>
              </w:rPr>
            </w:pPr>
            <w:r w:rsidRPr="0029684D">
              <w:rPr>
                <w:rFonts w:cs="Arial"/>
                <w:b/>
                <w:bCs/>
                <w:color w:val="000000"/>
                <w:szCs w:val="24"/>
              </w:rPr>
              <w:t>£m</w:t>
            </w:r>
          </w:p>
        </w:tc>
        <w:tc>
          <w:tcPr>
            <w:tcW w:w="1150" w:type="dxa"/>
            <w:noWrap/>
            <w:hideMark/>
          </w:tcPr>
          <w:p w:rsidR="00226DA9" w:rsidRPr="0029684D" w:rsidRDefault="00FC0C28">
            <w:pPr>
              <w:jc w:val="center"/>
              <w:rPr>
                <w:rFonts w:cs="Arial"/>
                <w:b/>
                <w:bCs/>
                <w:color w:val="000000"/>
                <w:szCs w:val="24"/>
              </w:rPr>
            </w:pPr>
            <w:r w:rsidRPr="0029684D">
              <w:rPr>
                <w:rFonts w:cs="Arial"/>
                <w:b/>
                <w:bCs/>
                <w:color w:val="000000"/>
                <w:szCs w:val="24"/>
              </w:rPr>
              <w:t>£m</w:t>
            </w:r>
          </w:p>
        </w:tc>
        <w:tc>
          <w:tcPr>
            <w:tcW w:w="1443" w:type="dxa"/>
            <w:noWrap/>
            <w:hideMark/>
          </w:tcPr>
          <w:p w:rsidR="00226DA9" w:rsidRPr="0029684D" w:rsidRDefault="00FC0C28">
            <w:pPr>
              <w:jc w:val="center"/>
              <w:rPr>
                <w:rFonts w:cs="Arial"/>
                <w:b/>
                <w:bCs/>
                <w:color w:val="000000"/>
                <w:szCs w:val="24"/>
              </w:rPr>
            </w:pPr>
            <w:r w:rsidRPr="0029684D">
              <w:rPr>
                <w:rFonts w:cs="Arial"/>
                <w:b/>
                <w:bCs/>
                <w:color w:val="000000"/>
                <w:szCs w:val="24"/>
              </w:rPr>
              <w:t>£m</w:t>
            </w:r>
          </w:p>
        </w:tc>
        <w:tc>
          <w:tcPr>
            <w:tcW w:w="1484" w:type="dxa"/>
            <w:noWrap/>
            <w:hideMark/>
          </w:tcPr>
          <w:p w:rsidR="00226DA9" w:rsidRPr="0029684D" w:rsidRDefault="00FC0C28">
            <w:pPr>
              <w:jc w:val="center"/>
              <w:rPr>
                <w:rFonts w:cs="Arial"/>
                <w:b/>
                <w:bCs/>
                <w:color w:val="000000"/>
                <w:szCs w:val="24"/>
              </w:rPr>
            </w:pPr>
            <w:r w:rsidRPr="0029684D">
              <w:rPr>
                <w:rFonts w:cs="Arial"/>
                <w:b/>
                <w:bCs/>
                <w:color w:val="000000"/>
                <w:szCs w:val="24"/>
              </w:rPr>
              <w:t>£m</w:t>
            </w:r>
          </w:p>
        </w:tc>
        <w:tc>
          <w:tcPr>
            <w:tcW w:w="1451" w:type="dxa"/>
            <w:noWrap/>
            <w:hideMark/>
          </w:tcPr>
          <w:p w:rsidR="00226DA9" w:rsidRPr="0029684D" w:rsidRDefault="00FC0C28">
            <w:pPr>
              <w:jc w:val="center"/>
              <w:rPr>
                <w:rFonts w:cs="Arial"/>
                <w:b/>
                <w:bCs/>
                <w:color w:val="000000"/>
                <w:szCs w:val="24"/>
              </w:rPr>
            </w:pPr>
            <w:r w:rsidRPr="0029684D">
              <w:rPr>
                <w:rFonts w:cs="Arial"/>
                <w:b/>
                <w:bCs/>
                <w:color w:val="000000"/>
                <w:szCs w:val="24"/>
              </w:rPr>
              <w:t>£m</w:t>
            </w:r>
          </w:p>
        </w:tc>
      </w:tr>
      <w:tr w:rsidR="008B7DB0" w:rsidTr="00226DA9">
        <w:trPr>
          <w:trHeight w:val="315"/>
        </w:trPr>
        <w:tc>
          <w:tcPr>
            <w:tcW w:w="1991" w:type="dxa"/>
            <w:noWrap/>
            <w:hideMark/>
          </w:tcPr>
          <w:p w:rsidR="00226DA9" w:rsidRPr="0029684D" w:rsidRDefault="00FC0C28">
            <w:pPr>
              <w:rPr>
                <w:rFonts w:cs="Arial"/>
                <w:b/>
                <w:bCs/>
                <w:color w:val="000000"/>
                <w:szCs w:val="24"/>
              </w:rPr>
            </w:pPr>
            <w:r w:rsidRPr="0029684D">
              <w:rPr>
                <w:rFonts w:cs="Arial"/>
                <w:b/>
                <w:bCs/>
                <w:color w:val="000000"/>
                <w:szCs w:val="24"/>
              </w:rPr>
              <w:t>1 April 2019</w:t>
            </w:r>
          </w:p>
        </w:tc>
        <w:tc>
          <w:tcPr>
            <w:tcW w:w="1174"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23</w:t>
            </w:r>
            <w:r>
              <w:rPr>
                <w:rFonts w:cs="Arial"/>
                <w:b/>
                <w:bCs/>
                <w:color w:val="000000"/>
                <w:szCs w:val="24"/>
              </w:rPr>
              <w:t>6</w:t>
            </w:r>
          </w:p>
        </w:tc>
        <w:tc>
          <w:tcPr>
            <w:tcW w:w="1150"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12</w:t>
            </w:r>
            <w:r>
              <w:rPr>
                <w:rFonts w:cs="Arial"/>
                <w:b/>
                <w:bCs/>
                <w:color w:val="000000"/>
                <w:szCs w:val="24"/>
              </w:rPr>
              <w:t>6</w:t>
            </w:r>
          </w:p>
        </w:tc>
        <w:tc>
          <w:tcPr>
            <w:tcW w:w="1443" w:type="dxa"/>
            <w:noWrap/>
            <w:hideMark/>
          </w:tcPr>
          <w:p w:rsidR="00226DA9" w:rsidRPr="0029684D" w:rsidRDefault="00FC0C28" w:rsidP="00226DA9">
            <w:pPr>
              <w:jc w:val="right"/>
              <w:rPr>
                <w:rFonts w:cs="Arial"/>
                <w:b/>
                <w:bCs/>
                <w:color w:val="000000"/>
                <w:szCs w:val="24"/>
              </w:rPr>
            </w:pPr>
            <w:r>
              <w:rPr>
                <w:rFonts w:cs="Arial"/>
                <w:b/>
                <w:bCs/>
                <w:color w:val="000000"/>
                <w:szCs w:val="24"/>
              </w:rPr>
              <w:t>603</w:t>
            </w:r>
          </w:p>
        </w:tc>
        <w:tc>
          <w:tcPr>
            <w:tcW w:w="1484" w:type="dxa"/>
            <w:noWrap/>
            <w:hideMark/>
          </w:tcPr>
          <w:p w:rsidR="00226DA9" w:rsidRPr="0029684D" w:rsidRDefault="00FC0C28" w:rsidP="00226DA9">
            <w:pPr>
              <w:jc w:val="right"/>
              <w:rPr>
                <w:rFonts w:cs="Arial"/>
                <w:b/>
                <w:bCs/>
                <w:color w:val="000000"/>
                <w:szCs w:val="24"/>
              </w:rPr>
            </w:pPr>
            <w:r>
              <w:rPr>
                <w:rFonts w:cs="Arial"/>
                <w:b/>
                <w:bCs/>
                <w:color w:val="000000"/>
                <w:szCs w:val="24"/>
              </w:rPr>
              <w:t>71</w:t>
            </w:r>
          </w:p>
        </w:tc>
        <w:tc>
          <w:tcPr>
            <w:tcW w:w="1451"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1,03</w:t>
            </w:r>
            <w:r>
              <w:rPr>
                <w:rFonts w:cs="Arial"/>
                <w:b/>
                <w:bCs/>
                <w:color w:val="000000"/>
                <w:szCs w:val="24"/>
              </w:rPr>
              <w:t>6</w:t>
            </w:r>
          </w:p>
        </w:tc>
      </w:tr>
      <w:tr w:rsidR="008B7DB0" w:rsidTr="00226DA9">
        <w:trPr>
          <w:trHeight w:val="300"/>
        </w:trPr>
        <w:tc>
          <w:tcPr>
            <w:tcW w:w="1991" w:type="dxa"/>
            <w:noWrap/>
            <w:hideMark/>
          </w:tcPr>
          <w:p w:rsidR="00226DA9" w:rsidRPr="0029684D" w:rsidRDefault="00FC0C28">
            <w:pPr>
              <w:rPr>
                <w:rFonts w:cs="Arial"/>
                <w:color w:val="000000"/>
                <w:szCs w:val="24"/>
              </w:rPr>
            </w:pPr>
            <w:r w:rsidRPr="0029684D">
              <w:rPr>
                <w:rFonts w:cs="Arial"/>
                <w:color w:val="000000"/>
                <w:szCs w:val="24"/>
              </w:rPr>
              <w:t>New Borrowing</w:t>
            </w:r>
          </w:p>
        </w:tc>
        <w:tc>
          <w:tcPr>
            <w:tcW w:w="1174" w:type="dxa"/>
            <w:noWrap/>
            <w:hideMark/>
          </w:tcPr>
          <w:p w:rsidR="00226DA9" w:rsidRPr="0029684D" w:rsidRDefault="00FC0C28" w:rsidP="00226DA9">
            <w:pPr>
              <w:jc w:val="right"/>
              <w:rPr>
                <w:rFonts w:cs="Arial"/>
                <w:color w:val="000000"/>
                <w:szCs w:val="24"/>
              </w:rPr>
            </w:pPr>
            <w:r>
              <w:rPr>
                <w:rFonts w:cs="Arial"/>
                <w:color w:val="000000"/>
                <w:szCs w:val="24"/>
              </w:rPr>
              <w:t>70</w:t>
            </w:r>
          </w:p>
        </w:tc>
        <w:tc>
          <w:tcPr>
            <w:tcW w:w="1150" w:type="dxa"/>
            <w:noWrap/>
            <w:hideMark/>
          </w:tcPr>
          <w:p w:rsidR="00226DA9" w:rsidRPr="0029684D" w:rsidRDefault="00FC0C28" w:rsidP="00226DA9">
            <w:pPr>
              <w:jc w:val="right"/>
              <w:rPr>
                <w:rFonts w:cs="Arial"/>
                <w:color w:val="000000"/>
                <w:szCs w:val="24"/>
              </w:rPr>
            </w:pPr>
            <w:r w:rsidRPr="0029684D">
              <w:rPr>
                <w:rFonts w:cs="Arial"/>
                <w:color w:val="000000"/>
                <w:szCs w:val="24"/>
              </w:rPr>
              <w:t>0</w:t>
            </w:r>
          </w:p>
        </w:tc>
        <w:tc>
          <w:tcPr>
            <w:tcW w:w="1443" w:type="dxa"/>
            <w:noWrap/>
            <w:hideMark/>
          </w:tcPr>
          <w:p w:rsidR="00226DA9" w:rsidRPr="0029684D" w:rsidRDefault="00FC0C28" w:rsidP="00226DA9">
            <w:pPr>
              <w:jc w:val="right"/>
              <w:rPr>
                <w:rFonts w:cs="Arial"/>
                <w:color w:val="000000"/>
                <w:szCs w:val="24"/>
              </w:rPr>
            </w:pPr>
            <w:r>
              <w:rPr>
                <w:rFonts w:cs="Arial"/>
                <w:color w:val="000000"/>
                <w:szCs w:val="24"/>
              </w:rPr>
              <w:t>520</w:t>
            </w:r>
          </w:p>
        </w:tc>
        <w:tc>
          <w:tcPr>
            <w:tcW w:w="1484" w:type="dxa"/>
            <w:noWrap/>
            <w:hideMark/>
          </w:tcPr>
          <w:p w:rsidR="00226DA9" w:rsidRPr="0029684D" w:rsidRDefault="00FC0C28" w:rsidP="00226DA9">
            <w:pPr>
              <w:jc w:val="right"/>
              <w:rPr>
                <w:rFonts w:cs="Arial"/>
                <w:color w:val="000000"/>
                <w:szCs w:val="24"/>
              </w:rPr>
            </w:pPr>
            <w:r>
              <w:rPr>
                <w:rFonts w:cs="Arial"/>
                <w:color w:val="000000"/>
                <w:szCs w:val="24"/>
              </w:rPr>
              <w:t>301</w:t>
            </w:r>
          </w:p>
        </w:tc>
        <w:tc>
          <w:tcPr>
            <w:tcW w:w="1451" w:type="dxa"/>
            <w:noWrap/>
            <w:hideMark/>
          </w:tcPr>
          <w:p w:rsidR="00226DA9" w:rsidRPr="0029684D" w:rsidRDefault="00FC0C28" w:rsidP="00226DA9">
            <w:pPr>
              <w:jc w:val="right"/>
              <w:rPr>
                <w:rFonts w:cs="Arial"/>
                <w:color w:val="000000"/>
                <w:szCs w:val="24"/>
              </w:rPr>
            </w:pPr>
            <w:r>
              <w:rPr>
                <w:rFonts w:cs="Arial"/>
                <w:color w:val="000000"/>
                <w:szCs w:val="24"/>
              </w:rPr>
              <w:t>891</w:t>
            </w:r>
          </w:p>
        </w:tc>
      </w:tr>
      <w:tr w:rsidR="008B7DB0" w:rsidTr="00226DA9">
        <w:trPr>
          <w:trHeight w:val="300"/>
        </w:trPr>
        <w:tc>
          <w:tcPr>
            <w:tcW w:w="1991" w:type="dxa"/>
            <w:noWrap/>
            <w:hideMark/>
          </w:tcPr>
          <w:p w:rsidR="00226DA9" w:rsidRPr="0029684D" w:rsidRDefault="00FC0C28">
            <w:pPr>
              <w:rPr>
                <w:rFonts w:cs="Arial"/>
                <w:color w:val="000000"/>
                <w:szCs w:val="24"/>
              </w:rPr>
            </w:pPr>
            <w:r w:rsidRPr="0029684D">
              <w:rPr>
                <w:rFonts w:cs="Arial"/>
                <w:color w:val="000000"/>
                <w:szCs w:val="24"/>
              </w:rPr>
              <w:t>Maturities</w:t>
            </w:r>
          </w:p>
        </w:tc>
        <w:tc>
          <w:tcPr>
            <w:tcW w:w="1174" w:type="dxa"/>
            <w:noWrap/>
            <w:hideMark/>
          </w:tcPr>
          <w:p w:rsidR="00226DA9" w:rsidRPr="0029684D" w:rsidRDefault="00FC0C28" w:rsidP="00226DA9">
            <w:pPr>
              <w:jc w:val="right"/>
              <w:rPr>
                <w:rFonts w:cs="Arial"/>
                <w:color w:val="000000"/>
                <w:szCs w:val="24"/>
              </w:rPr>
            </w:pPr>
            <w:r w:rsidRPr="0029684D">
              <w:rPr>
                <w:rFonts w:cs="Arial"/>
                <w:color w:val="000000"/>
                <w:szCs w:val="24"/>
              </w:rPr>
              <w:t>0</w:t>
            </w:r>
          </w:p>
        </w:tc>
        <w:tc>
          <w:tcPr>
            <w:tcW w:w="1150" w:type="dxa"/>
            <w:noWrap/>
            <w:hideMark/>
          </w:tcPr>
          <w:p w:rsidR="00226DA9" w:rsidRPr="0029684D" w:rsidRDefault="00FC0C28" w:rsidP="00226DA9">
            <w:pPr>
              <w:jc w:val="right"/>
              <w:rPr>
                <w:rFonts w:cs="Arial"/>
                <w:color w:val="000000"/>
                <w:szCs w:val="24"/>
              </w:rPr>
            </w:pPr>
            <w:r w:rsidRPr="0029684D">
              <w:rPr>
                <w:rFonts w:cs="Arial"/>
                <w:color w:val="000000"/>
                <w:szCs w:val="24"/>
              </w:rPr>
              <w:t>0</w:t>
            </w:r>
          </w:p>
        </w:tc>
        <w:tc>
          <w:tcPr>
            <w:tcW w:w="1443" w:type="dxa"/>
            <w:noWrap/>
            <w:hideMark/>
          </w:tcPr>
          <w:p w:rsidR="00226DA9" w:rsidRPr="0029684D" w:rsidRDefault="00FC0C28" w:rsidP="00226DA9">
            <w:pPr>
              <w:jc w:val="right"/>
              <w:rPr>
                <w:rFonts w:cs="Arial"/>
                <w:color w:val="000000"/>
                <w:szCs w:val="24"/>
              </w:rPr>
            </w:pPr>
            <w:r>
              <w:rPr>
                <w:rFonts w:cs="Arial"/>
                <w:color w:val="000000"/>
                <w:szCs w:val="24"/>
              </w:rPr>
              <w:t>-472</w:t>
            </w:r>
          </w:p>
        </w:tc>
        <w:tc>
          <w:tcPr>
            <w:tcW w:w="1484" w:type="dxa"/>
            <w:noWrap/>
            <w:hideMark/>
          </w:tcPr>
          <w:p w:rsidR="00226DA9" w:rsidRPr="0029684D" w:rsidRDefault="00FC0C28" w:rsidP="00226DA9">
            <w:pPr>
              <w:jc w:val="right"/>
              <w:rPr>
                <w:rFonts w:cs="Arial"/>
                <w:color w:val="000000"/>
                <w:szCs w:val="24"/>
              </w:rPr>
            </w:pPr>
            <w:r>
              <w:rPr>
                <w:rFonts w:cs="Arial"/>
                <w:color w:val="000000"/>
                <w:szCs w:val="24"/>
              </w:rPr>
              <w:t>-279</w:t>
            </w:r>
          </w:p>
        </w:tc>
        <w:tc>
          <w:tcPr>
            <w:tcW w:w="1451" w:type="dxa"/>
            <w:noWrap/>
            <w:hideMark/>
          </w:tcPr>
          <w:p w:rsidR="00226DA9" w:rsidRPr="0029684D" w:rsidRDefault="00FC0C28" w:rsidP="00226DA9">
            <w:pPr>
              <w:jc w:val="right"/>
              <w:rPr>
                <w:rFonts w:cs="Arial"/>
                <w:color w:val="000000"/>
                <w:szCs w:val="24"/>
              </w:rPr>
            </w:pPr>
            <w:r>
              <w:rPr>
                <w:rFonts w:cs="Arial"/>
                <w:color w:val="000000"/>
                <w:szCs w:val="24"/>
              </w:rPr>
              <w:t>-751</w:t>
            </w:r>
          </w:p>
        </w:tc>
      </w:tr>
      <w:tr w:rsidR="008B7DB0" w:rsidTr="00226DA9">
        <w:trPr>
          <w:trHeight w:val="315"/>
        </w:trPr>
        <w:tc>
          <w:tcPr>
            <w:tcW w:w="1991" w:type="dxa"/>
            <w:noWrap/>
            <w:hideMark/>
          </w:tcPr>
          <w:p w:rsidR="00226DA9" w:rsidRPr="0029684D" w:rsidRDefault="00FC0C28" w:rsidP="00226DA9">
            <w:pPr>
              <w:rPr>
                <w:rFonts w:cs="Arial"/>
                <w:b/>
                <w:bCs/>
                <w:color w:val="000000"/>
                <w:szCs w:val="24"/>
              </w:rPr>
            </w:pPr>
            <w:r w:rsidRPr="0029684D">
              <w:rPr>
                <w:rFonts w:cs="Arial"/>
                <w:b/>
                <w:bCs/>
                <w:color w:val="000000"/>
                <w:szCs w:val="24"/>
              </w:rPr>
              <w:t xml:space="preserve">30 </w:t>
            </w:r>
            <w:r>
              <w:rPr>
                <w:rFonts w:cs="Arial"/>
                <w:b/>
                <w:bCs/>
                <w:color w:val="000000"/>
                <w:szCs w:val="24"/>
              </w:rPr>
              <w:t xml:space="preserve">September </w:t>
            </w:r>
            <w:r w:rsidRPr="0029684D">
              <w:rPr>
                <w:rFonts w:cs="Arial"/>
                <w:b/>
                <w:bCs/>
                <w:color w:val="000000"/>
                <w:szCs w:val="24"/>
              </w:rPr>
              <w:t>2019</w:t>
            </w:r>
          </w:p>
        </w:tc>
        <w:tc>
          <w:tcPr>
            <w:tcW w:w="1174" w:type="dxa"/>
            <w:noWrap/>
            <w:hideMark/>
          </w:tcPr>
          <w:p w:rsidR="00226DA9" w:rsidRPr="0029684D" w:rsidRDefault="00FC0C28" w:rsidP="00226DA9">
            <w:pPr>
              <w:jc w:val="right"/>
              <w:rPr>
                <w:rFonts w:cs="Arial"/>
                <w:b/>
                <w:bCs/>
                <w:color w:val="000000"/>
                <w:szCs w:val="24"/>
              </w:rPr>
            </w:pPr>
            <w:r>
              <w:rPr>
                <w:rFonts w:cs="Arial"/>
                <w:b/>
                <w:bCs/>
                <w:color w:val="000000"/>
                <w:szCs w:val="24"/>
              </w:rPr>
              <w:t>306</w:t>
            </w:r>
          </w:p>
        </w:tc>
        <w:tc>
          <w:tcPr>
            <w:tcW w:w="1150" w:type="dxa"/>
            <w:noWrap/>
            <w:hideMark/>
          </w:tcPr>
          <w:p w:rsidR="00226DA9" w:rsidRPr="0029684D" w:rsidRDefault="00FC0C28" w:rsidP="00226DA9">
            <w:pPr>
              <w:jc w:val="right"/>
              <w:rPr>
                <w:rFonts w:cs="Arial"/>
                <w:b/>
                <w:bCs/>
                <w:color w:val="000000"/>
                <w:szCs w:val="24"/>
              </w:rPr>
            </w:pPr>
            <w:r>
              <w:rPr>
                <w:rFonts w:cs="Arial"/>
                <w:b/>
                <w:bCs/>
                <w:color w:val="000000"/>
                <w:szCs w:val="24"/>
              </w:rPr>
              <w:t>126</w:t>
            </w:r>
          </w:p>
        </w:tc>
        <w:tc>
          <w:tcPr>
            <w:tcW w:w="1443" w:type="dxa"/>
            <w:noWrap/>
            <w:hideMark/>
          </w:tcPr>
          <w:p w:rsidR="00226DA9" w:rsidRPr="0029684D" w:rsidRDefault="00FC0C28" w:rsidP="00226DA9">
            <w:pPr>
              <w:jc w:val="right"/>
              <w:rPr>
                <w:rFonts w:cs="Arial"/>
                <w:b/>
                <w:bCs/>
                <w:color w:val="000000"/>
                <w:szCs w:val="24"/>
              </w:rPr>
            </w:pPr>
            <w:r>
              <w:rPr>
                <w:rFonts w:cs="Arial"/>
                <w:b/>
                <w:bCs/>
                <w:color w:val="000000"/>
                <w:szCs w:val="24"/>
              </w:rPr>
              <w:t>651</w:t>
            </w:r>
          </w:p>
        </w:tc>
        <w:tc>
          <w:tcPr>
            <w:tcW w:w="1484" w:type="dxa"/>
            <w:noWrap/>
            <w:hideMark/>
          </w:tcPr>
          <w:p w:rsidR="00226DA9" w:rsidRPr="0029684D" w:rsidRDefault="00FC0C28" w:rsidP="00226DA9">
            <w:pPr>
              <w:jc w:val="right"/>
              <w:rPr>
                <w:rFonts w:cs="Arial"/>
                <w:b/>
                <w:bCs/>
                <w:color w:val="000000"/>
                <w:szCs w:val="24"/>
              </w:rPr>
            </w:pPr>
            <w:r>
              <w:rPr>
                <w:rFonts w:cs="Arial"/>
                <w:b/>
                <w:bCs/>
                <w:color w:val="000000"/>
                <w:szCs w:val="24"/>
              </w:rPr>
              <w:t>93</w:t>
            </w:r>
          </w:p>
        </w:tc>
        <w:tc>
          <w:tcPr>
            <w:tcW w:w="1451" w:type="dxa"/>
            <w:noWrap/>
            <w:hideMark/>
          </w:tcPr>
          <w:p w:rsidR="00226DA9" w:rsidRPr="0029684D" w:rsidRDefault="00FC0C28" w:rsidP="00226DA9">
            <w:pPr>
              <w:jc w:val="right"/>
              <w:rPr>
                <w:rFonts w:cs="Arial"/>
                <w:b/>
                <w:bCs/>
                <w:color w:val="000000"/>
                <w:szCs w:val="24"/>
              </w:rPr>
            </w:pPr>
            <w:r>
              <w:rPr>
                <w:rFonts w:cs="Arial"/>
                <w:b/>
                <w:bCs/>
                <w:color w:val="000000"/>
                <w:szCs w:val="24"/>
              </w:rPr>
              <w:t>1,176</w:t>
            </w:r>
          </w:p>
        </w:tc>
      </w:tr>
      <w:tr w:rsidR="008B7DB0" w:rsidTr="00226DA9">
        <w:trPr>
          <w:trHeight w:val="600"/>
        </w:trPr>
        <w:tc>
          <w:tcPr>
            <w:tcW w:w="1991" w:type="dxa"/>
            <w:hideMark/>
          </w:tcPr>
          <w:p w:rsidR="00226DA9" w:rsidRPr="0029684D" w:rsidRDefault="00FC0C28">
            <w:pPr>
              <w:rPr>
                <w:rFonts w:cs="Arial"/>
                <w:color w:val="000000"/>
                <w:szCs w:val="24"/>
              </w:rPr>
            </w:pPr>
            <w:r w:rsidRPr="0029684D">
              <w:rPr>
                <w:rFonts w:cs="Arial"/>
                <w:color w:val="000000"/>
                <w:szCs w:val="24"/>
              </w:rPr>
              <w:t>Public Finance Initiative (PFI) Liability</w:t>
            </w:r>
          </w:p>
        </w:tc>
        <w:tc>
          <w:tcPr>
            <w:tcW w:w="1174" w:type="dxa"/>
            <w:noWrap/>
            <w:hideMark/>
          </w:tcPr>
          <w:p w:rsidR="00226DA9" w:rsidRPr="0029684D" w:rsidRDefault="00FC0C28" w:rsidP="00226DA9">
            <w:pPr>
              <w:jc w:val="right"/>
              <w:rPr>
                <w:rFonts w:cs="Arial"/>
                <w:color w:val="000000"/>
                <w:szCs w:val="24"/>
              </w:rPr>
            </w:pPr>
            <w:r w:rsidRPr="0029684D">
              <w:rPr>
                <w:rFonts w:cs="Arial"/>
                <w:color w:val="000000"/>
                <w:szCs w:val="24"/>
              </w:rPr>
              <w:t>-</w:t>
            </w:r>
          </w:p>
        </w:tc>
        <w:tc>
          <w:tcPr>
            <w:tcW w:w="1150" w:type="dxa"/>
            <w:noWrap/>
            <w:hideMark/>
          </w:tcPr>
          <w:p w:rsidR="00226DA9" w:rsidRPr="0029684D" w:rsidRDefault="00FC0C28" w:rsidP="00226DA9">
            <w:pPr>
              <w:jc w:val="right"/>
              <w:rPr>
                <w:rFonts w:cs="Arial"/>
                <w:color w:val="000000"/>
                <w:szCs w:val="24"/>
              </w:rPr>
            </w:pPr>
            <w:r w:rsidRPr="0029684D">
              <w:rPr>
                <w:rFonts w:cs="Arial"/>
                <w:color w:val="000000"/>
                <w:szCs w:val="24"/>
              </w:rPr>
              <w:t>-</w:t>
            </w:r>
          </w:p>
        </w:tc>
        <w:tc>
          <w:tcPr>
            <w:tcW w:w="1443" w:type="dxa"/>
            <w:noWrap/>
            <w:hideMark/>
          </w:tcPr>
          <w:p w:rsidR="00226DA9" w:rsidRPr="0029684D" w:rsidRDefault="00FC0C28" w:rsidP="00226DA9">
            <w:pPr>
              <w:jc w:val="right"/>
              <w:rPr>
                <w:rFonts w:cs="Arial"/>
                <w:color w:val="000000"/>
                <w:szCs w:val="24"/>
              </w:rPr>
            </w:pPr>
            <w:r w:rsidRPr="0029684D">
              <w:rPr>
                <w:rFonts w:cs="Arial"/>
                <w:color w:val="000000"/>
                <w:szCs w:val="24"/>
              </w:rPr>
              <w:t>-</w:t>
            </w:r>
          </w:p>
        </w:tc>
        <w:tc>
          <w:tcPr>
            <w:tcW w:w="1484" w:type="dxa"/>
            <w:noWrap/>
            <w:hideMark/>
          </w:tcPr>
          <w:p w:rsidR="00226DA9" w:rsidRPr="0029684D" w:rsidRDefault="00FC0C28" w:rsidP="00226DA9">
            <w:pPr>
              <w:jc w:val="right"/>
              <w:rPr>
                <w:rFonts w:cs="Arial"/>
                <w:color w:val="000000"/>
                <w:szCs w:val="24"/>
              </w:rPr>
            </w:pPr>
            <w:r w:rsidRPr="0029684D">
              <w:rPr>
                <w:rFonts w:cs="Arial"/>
                <w:color w:val="000000"/>
                <w:szCs w:val="24"/>
              </w:rPr>
              <w:t>-</w:t>
            </w:r>
          </w:p>
        </w:tc>
        <w:tc>
          <w:tcPr>
            <w:tcW w:w="1451" w:type="dxa"/>
            <w:noWrap/>
            <w:hideMark/>
          </w:tcPr>
          <w:p w:rsidR="00226DA9" w:rsidRPr="0029684D" w:rsidRDefault="00FC0C28" w:rsidP="00226DA9">
            <w:pPr>
              <w:jc w:val="right"/>
              <w:rPr>
                <w:rFonts w:cs="Arial"/>
                <w:color w:val="000000"/>
                <w:szCs w:val="24"/>
              </w:rPr>
            </w:pPr>
            <w:r>
              <w:rPr>
                <w:rFonts w:cs="Arial"/>
                <w:color w:val="000000"/>
                <w:szCs w:val="24"/>
              </w:rPr>
              <w:t>147</w:t>
            </w:r>
          </w:p>
        </w:tc>
      </w:tr>
      <w:tr w:rsidR="008B7DB0" w:rsidTr="00226DA9">
        <w:trPr>
          <w:trHeight w:val="250"/>
        </w:trPr>
        <w:tc>
          <w:tcPr>
            <w:tcW w:w="1991" w:type="dxa"/>
            <w:hideMark/>
          </w:tcPr>
          <w:p w:rsidR="00226DA9" w:rsidRPr="0029684D" w:rsidRDefault="00FC0C28" w:rsidP="00226DA9">
            <w:pPr>
              <w:rPr>
                <w:rFonts w:cs="Arial"/>
                <w:b/>
                <w:bCs/>
                <w:color w:val="000000"/>
                <w:szCs w:val="24"/>
              </w:rPr>
            </w:pPr>
            <w:r w:rsidRPr="0029684D">
              <w:rPr>
                <w:rFonts w:cs="Arial"/>
                <w:b/>
                <w:bCs/>
                <w:color w:val="000000"/>
                <w:szCs w:val="24"/>
              </w:rPr>
              <w:t xml:space="preserve">Total </w:t>
            </w:r>
          </w:p>
        </w:tc>
        <w:tc>
          <w:tcPr>
            <w:tcW w:w="1174"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 </w:t>
            </w:r>
          </w:p>
        </w:tc>
        <w:tc>
          <w:tcPr>
            <w:tcW w:w="1150"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 </w:t>
            </w:r>
          </w:p>
        </w:tc>
        <w:tc>
          <w:tcPr>
            <w:tcW w:w="1443"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 </w:t>
            </w:r>
          </w:p>
        </w:tc>
        <w:tc>
          <w:tcPr>
            <w:tcW w:w="1484" w:type="dxa"/>
            <w:noWrap/>
            <w:hideMark/>
          </w:tcPr>
          <w:p w:rsidR="00226DA9" w:rsidRPr="0029684D" w:rsidRDefault="00FC0C28" w:rsidP="00226DA9">
            <w:pPr>
              <w:jc w:val="right"/>
              <w:rPr>
                <w:rFonts w:cs="Arial"/>
                <w:b/>
                <w:bCs/>
                <w:color w:val="000000"/>
                <w:szCs w:val="24"/>
              </w:rPr>
            </w:pPr>
            <w:r w:rsidRPr="0029684D">
              <w:rPr>
                <w:rFonts w:cs="Arial"/>
                <w:b/>
                <w:bCs/>
                <w:color w:val="000000"/>
                <w:szCs w:val="24"/>
              </w:rPr>
              <w:t> </w:t>
            </w:r>
          </w:p>
        </w:tc>
        <w:tc>
          <w:tcPr>
            <w:tcW w:w="1451" w:type="dxa"/>
            <w:noWrap/>
            <w:hideMark/>
          </w:tcPr>
          <w:p w:rsidR="00226DA9" w:rsidRPr="0029684D" w:rsidRDefault="00FC0C28" w:rsidP="00226DA9">
            <w:pPr>
              <w:jc w:val="right"/>
              <w:rPr>
                <w:rFonts w:cs="Arial"/>
                <w:b/>
                <w:bCs/>
                <w:color w:val="000000"/>
                <w:szCs w:val="24"/>
              </w:rPr>
            </w:pPr>
            <w:r>
              <w:rPr>
                <w:rFonts w:cs="Arial"/>
                <w:b/>
                <w:bCs/>
                <w:color w:val="000000"/>
                <w:szCs w:val="24"/>
              </w:rPr>
              <w:t>1,323</w:t>
            </w:r>
          </w:p>
        </w:tc>
      </w:tr>
    </w:tbl>
    <w:p w:rsidR="00226DA9" w:rsidRPr="0098171A" w:rsidRDefault="00FD7269" w:rsidP="00226DA9">
      <w:pPr>
        <w:jc w:val="both"/>
        <w:rPr>
          <w:rFonts w:cs="Arial"/>
          <w:highlight w:val="green"/>
        </w:rPr>
      </w:pPr>
    </w:p>
    <w:p w:rsidR="00226DA9" w:rsidRDefault="00FC0C28" w:rsidP="00226DA9">
      <w:pPr>
        <w:jc w:val="both"/>
        <w:rPr>
          <w:rFonts w:cs="Arial"/>
          <w:color w:val="000000"/>
          <w:szCs w:val="24"/>
        </w:rPr>
      </w:pPr>
      <w:r w:rsidRPr="00A03668">
        <w:rPr>
          <w:rFonts w:cs="Arial"/>
          <w:color w:val="000000"/>
          <w:szCs w:val="24"/>
        </w:rPr>
        <w:t xml:space="preserve">Total borrowing at the end of </w:t>
      </w:r>
      <w:r>
        <w:rPr>
          <w:rFonts w:cs="Arial"/>
          <w:color w:val="000000"/>
          <w:szCs w:val="24"/>
        </w:rPr>
        <w:t>September</w:t>
      </w:r>
      <w:r w:rsidRPr="00A03668">
        <w:rPr>
          <w:rFonts w:cs="Arial"/>
          <w:color w:val="000000"/>
          <w:szCs w:val="24"/>
        </w:rPr>
        <w:t xml:space="preserve"> was £1</w:t>
      </w:r>
      <w:r>
        <w:rPr>
          <w:rFonts w:cs="Arial"/>
          <w:color w:val="000000"/>
          <w:szCs w:val="24"/>
        </w:rPr>
        <w:t xml:space="preserve">,323m </w:t>
      </w:r>
      <w:r w:rsidRPr="00A03668">
        <w:rPr>
          <w:rFonts w:cs="Arial"/>
          <w:color w:val="000000"/>
          <w:szCs w:val="24"/>
        </w:rPr>
        <w:t>including the financing of £</w:t>
      </w:r>
      <w:r>
        <w:rPr>
          <w:rFonts w:cs="Arial"/>
          <w:color w:val="000000"/>
          <w:szCs w:val="24"/>
        </w:rPr>
        <w:t>147</w:t>
      </w:r>
      <w:r w:rsidRPr="00A03668">
        <w:rPr>
          <w:rFonts w:cs="Arial"/>
          <w:color w:val="000000"/>
          <w:szCs w:val="24"/>
        </w:rPr>
        <w:t>m of assets through remaining P</w:t>
      </w:r>
      <w:r>
        <w:rPr>
          <w:rFonts w:cs="Arial"/>
          <w:color w:val="000000"/>
          <w:szCs w:val="24"/>
        </w:rPr>
        <w:t xml:space="preserve">ublic </w:t>
      </w:r>
      <w:r w:rsidRPr="00A03668">
        <w:rPr>
          <w:rFonts w:cs="Arial"/>
          <w:color w:val="000000"/>
          <w:szCs w:val="24"/>
        </w:rPr>
        <w:t>F</w:t>
      </w:r>
      <w:r>
        <w:rPr>
          <w:rFonts w:cs="Arial"/>
          <w:color w:val="000000"/>
          <w:szCs w:val="24"/>
        </w:rPr>
        <w:t xml:space="preserve">inance </w:t>
      </w:r>
      <w:r w:rsidRPr="00A03668">
        <w:rPr>
          <w:rFonts w:cs="Arial"/>
          <w:color w:val="000000"/>
          <w:szCs w:val="24"/>
        </w:rPr>
        <w:t>I</w:t>
      </w:r>
      <w:r>
        <w:rPr>
          <w:rFonts w:cs="Arial"/>
          <w:color w:val="000000"/>
          <w:szCs w:val="24"/>
        </w:rPr>
        <w:t>nitiative</w:t>
      </w:r>
      <w:r w:rsidRPr="00A03668">
        <w:rPr>
          <w:rFonts w:cs="Arial"/>
          <w:color w:val="000000"/>
          <w:szCs w:val="24"/>
        </w:rPr>
        <w:t xml:space="preserve"> schemes. The outstanding borrowing has increased by </w:t>
      </w:r>
      <w:r>
        <w:rPr>
          <w:rFonts w:cs="Arial"/>
          <w:color w:val="000000"/>
          <w:szCs w:val="24"/>
        </w:rPr>
        <w:t>£140</w:t>
      </w:r>
      <w:r w:rsidRPr="00355D7B">
        <w:rPr>
          <w:rFonts w:cs="Arial"/>
          <w:color w:val="000000"/>
          <w:szCs w:val="24"/>
        </w:rPr>
        <w:t>m</w:t>
      </w:r>
      <w:r w:rsidRPr="00A03668">
        <w:rPr>
          <w:rFonts w:cs="Arial"/>
          <w:color w:val="000000"/>
          <w:szCs w:val="24"/>
        </w:rPr>
        <w:t xml:space="preserve"> in the period.</w:t>
      </w:r>
    </w:p>
    <w:p w:rsidR="00226DA9" w:rsidRDefault="00FD7269" w:rsidP="00226DA9">
      <w:pPr>
        <w:jc w:val="both"/>
        <w:rPr>
          <w:rFonts w:cs="Arial"/>
          <w:color w:val="000000"/>
          <w:szCs w:val="24"/>
        </w:rPr>
      </w:pPr>
    </w:p>
    <w:p w:rsidR="00226DA9" w:rsidRPr="00A652BB" w:rsidRDefault="00FC0C28" w:rsidP="00226DA9">
      <w:pPr>
        <w:jc w:val="both"/>
        <w:rPr>
          <w:rFonts w:cs="Arial"/>
          <w:color w:val="000000"/>
          <w:szCs w:val="24"/>
        </w:rPr>
      </w:pPr>
      <w:r>
        <w:rPr>
          <w:rFonts w:cs="Arial"/>
          <w:color w:val="000000"/>
          <w:szCs w:val="24"/>
        </w:rPr>
        <w:t xml:space="preserve">With the low interest rates anticipated to continue, borrowing taken has principally been short term in nature, in line with the recent strategy. However, the Public Works Loan Board rates are linked to the Gilt yields. The period has seen Gilt yields, and therefore the Public Works Loan Board rates fall to historically low levels. Therefore, some £70m of fixed term loans were taken in the period to provide some certainty of future cost. The average interest rate of the loans taken during the year is 1.8%; which is lower than the 2.7% provision made in the Medium Term Financial Strategy for fixing </w:t>
      </w:r>
      <w:r>
        <w:rPr>
          <w:rFonts w:cs="Arial"/>
          <w:color w:val="000000"/>
          <w:szCs w:val="24"/>
        </w:rPr>
        <w:lastRenderedPageBreak/>
        <w:t>some debt on a long term basis</w:t>
      </w:r>
      <w:r w:rsidR="001F1CD2">
        <w:rPr>
          <w:rFonts w:cs="Arial"/>
          <w:color w:val="000000"/>
          <w:szCs w:val="24"/>
        </w:rPr>
        <w:t>.</w:t>
      </w:r>
      <w:r>
        <w:rPr>
          <w:rFonts w:cs="Arial"/>
          <w:color w:val="000000"/>
          <w:szCs w:val="24"/>
        </w:rPr>
        <w:t xml:space="preserve"> Th</w:t>
      </w:r>
      <w:r w:rsidR="001F1CD2">
        <w:rPr>
          <w:rFonts w:cs="Arial"/>
          <w:color w:val="000000"/>
          <w:szCs w:val="24"/>
        </w:rPr>
        <w:t xml:space="preserve">e </w:t>
      </w:r>
      <w:r>
        <w:rPr>
          <w:rFonts w:cs="Arial"/>
          <w:color w:val="000000"/>
          <w:szCs w:val="24"/>
        </w:rPr>
        <w:t xml:space="preserve">strategy </w:t>
      </w:r>
      <w:r w:rsidR="001F1CD2">
        <w:rPr>
          <w:rFonts w:cs="Arial"/>
          <w:color w:val="000000"/>
          <w:szCs w:val="24"/>
        </w:rPr>
        <w:t xml:space="preserve">is </w:t>
      </w:r>
      <w:r>
        <w:rPr>
          <w:rFonts w:cs="Arial"/>
          <w:color w:val="000000"/>
          <w:szCs w:val="24"/>
        </w:rPr>
        <w:t>to take up to £100m</w:t>
      </w:r>
      <w:r w:rsidR="001F1CD2">
        <w:rPr>
          <w:rFonts w:cs="Arial"/>
          <w:color w:val="000000"/>
          <w:szCs w:val="24"/>
        </w:rPr>
        <w:t>,</w:t>
      </w:r>
      <w:r>
        <w:rPr>
          <w:rFonts w:cs="Arial"/>
          <w:color w:val="000000"/>
          <w:szCs w:val="24"/>
        </w:rPr>
        <w:t xml:space="preserve"> for which budget provision has been made in the Medium Term Financial Strategy</w:t>
      </w:r>
      <w:r w:rsidR="001F1CD2">
        <w:rPr>
          <w:rFonts w:cs="Arial"/>
          <w:color w:val="000000"/>
          <w:szCs w:val="24"/>
        </w:rPr>
        <w:t>,</w:t>
      </w:r>
      <w:r>
        <w:rPr>
          <w:rFonts w:cs="Arial"/>
          <w:color w:val="000000"/>
          <w:szCs w:val="24"/>
        </w:rPr>
        <w:t xml:space="preserve"> based on the future maturities of long term debt and the desire to keep a balanced debt portfolio between long term fixed and short term borrowing to manage interest rate risk and provide a degree of budget certainty. There is no evidence of a short term liquidity problem and this was not a factor in the decision. O</w:t>
      </w:r>
      <w:r w:rsidRPr="00A652BB">
        <w:rPr>
          <w:rFonts w:cs="Arial"/>
          <w:color w:val="000000"/>
          <w:szCs w:val="24"/>
        </w:rPr>
        <w:t>pportunities to</w:t>
      </w:r>
      <w:r>
        <w:rPr>
          <w:rFonts w:cs="Arial"/>
          <w:color w:val="000000"/>
          <w:szCs w:val="24"/>
        </w:rPr>
        <w:t xml:space="preserve"> take further fixed term loans</w:t>
      </w:r>
      <w:r w:rsidRPr="00A652BB">
        <w:rPr>
          <w:rFonts w:cs="Arial"/>
          <w:color w:val="000000"/>
          <w:szCs w:val="24"/>
        </w:rPr>
        <w:t xml:space="preserve"> will continue to be evaluated.  </w:t>
      </w:r>
    </w:p>
    <w:p w:rsidR="00226DA9" w:rsidRPr="0098171A" w:rsidRDefault="00FD7269" w:rsidP="00226DA9">
      <w:pPr>
        <w:jc w:val="both"/>
        <w:rPr>
          <w:rFonts w:cs="Arial"/>
          <w:szCs w:val="24"/>
          <w:highlight w:val="green"/>
        </w:rPr>
      </w:pPr>
    </w:p>
    <w:p w:rsidR="00226DA9" w:rsidRDefault="001F1CD2" w:rsidP="00226DA9">
      <w:pPr>
        <w:jc w:val="both"/>
        <w:rPr>
          <w:rFonts w:cs="Arial"/>
        </w:rPr>
      </w:pPr>
      <w:r>
        <w:rPr>
          <w:rFonts w:cs="Arial"/>
          <w:szCs w:val="24"/>
        </w:rPr>
        <w:t>B</w:t>
      </w:r>
      <w:r w:rsidR="00FC0C28">
        <w:rPr>
          <w:rFonts w:cs="Arial"/>
          <w:szCs w:val="24"/>
        </w:rPr>
        <w:t xml:space="preserve">orrowing is undertaken within the framework set by the Authorised and Operational Limits. The </w:t>
      </w:r>
      <w:r w:rsidR="00FC0C28" w:rsidRPr="00590972">
        <w:rPr>
          <w:rFonts w:cs="Arial"/>
          <w:szCs w:val="24"/>
        </w:rPr>
        <w:t>following graph shows the level of debt for the current financial year compared with the prudential indicator operational and authorised boundaries.</w:t>
      </w:r>
      <w:r w:rsidR="00FC0C28">
        <w:rPr>
          <w:rFonts w:cs="Arial"/>
          <w:szCs w:val="24"/>
        </w:rPr>
        <w:t xml:space="preserve"> It is expected that the debt may exceed the operational limit on occasions but it should not exceed the Authorised Limit.</w:t>
      </w:r>
      <w:r w:rsidR="00FC0C28" w:rsidRPr="00590972">
        <w:rPr>
          <w:rFonts w:cs="Arial"/>
          <w:szCs w:val="24"/>
        </w:rPr>
        <w:t xml:space="preserve"> The</w:t>
      </w:r>
      <w:r w:rsidR="00FC0C28" w:rsidRPr="00590972">
        <w:rPr>
          <w:rFonts w:cs="Arial"/>
        </w:rPr>
        <w:t xml:space="preserve"> debt shown from 30 </w:t>
      </w:r>
      <w:r w:rsidR="00FC0C28">
        <w:rPr>
          <w:rFonts w:cs="Arial"/>
        </w:rPr>
        <w:t>September</w:t>
      </w:r>
      <w:r w:rsidR="00FC0C28" w:rsidRPr="00590972">
        <w:rPr>
          <w:rFonts w:cs="Arial"/>
        </w:rPr>
        <w:t xml:space="preserve"> represents the debt position if no maturing debt was replaced rather than an estimate of the expected position. </w:t>
      </w:r>
    </w:p>
    <w:p w:rsidR="00C60BDA" w:rsidRDefault="00FD7269" w:rsidP="00226DA9">
      <w:pPr>
        <w:jc w:val="both"/>
        <w:rPr>
          <w:rFonts w:cs="Arial"/>
        </w:rPr>
      </w:pPr>
    </w:p>
    <w:p w:rsidR="00226DA9" w:rsidRDefault="00FC0C28" w:rsidP="00226DA9">
      <w:pPr>
        <w:jc w:val="both"/>
        <w:rPr>
          <w:rFonts w:cs="Arial"/>
        </w:rPr>
      </w:pPr>
      <w:r>
        <w:rPr>
          <w:noProof/>
        </w:rPr>
        <w:drawing>
          <wp:inline distT="0" distB="0" distL="0" distR="0">
            <wp:extent cx="5732145" cy="2899410"/>
            <wp:effectExtent l="0" t="0" r="1905" b="0"/>
            <wp:docPr id="3" name="Picture 3" descr="cid:image002.png@01D57D29.518E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7575" name="Chart 1" descr="cid:image002.png@01D57D29.518E9E9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5732145" cy="2899410"/>
                    </a:xfrm>
                    <a:prstGeom prst="rect">
                      <a:avLst/>
                    </a:prstGeom>
                    <a:noFill/>
                    <a:ln>
                      <a:noFill/>
                    </a:ln>
                  </pic:spPr>
                </pic:pic>
              </a:graphicData>
            </a:graphic>
          </wp:inline>
        </w:drawing>
      </w:r>
    </w:p>
    <w:p w:rsidR="00226DA9" w:rsidRPr="00590972" w:rsidRDefault="00FD7269" w:rsidP="00226DA9">
      <w:pPr>
        <w:jc w:val="both"/>
        <w:rPr>
          <w:rFonts w:cs="Arial"/>
        </w:rPr>
      </w:pPr>
    </w:p>
    <w:p w:rsidR="00226DA9" w:rsidRPr="00797EDE" w:rsidRDefault="00FC0C28" w:rsidP="00226DA9">
      <w:pPr>
        <w:pStyle w:val="ListParagraph"/>
        <w:ind w:left="0"/>
        <w:jc w:val="both"/>
        <w:rPr>
          <w:rFonts w:cs="Arial"/>
        </w:rPr>
      </w:pPr>
      <w:r w:rsidRPr="00797EDE">
        <w:rPr>
          <w:rFonts w:cs="Arial"/>
          <w:szCs w:val="24"/>
        </w:rPr>
        <w:t xml:space="preserve">Total debt during the year has remained below the authorised </w:t>
      </w:r>
      <w:r w:rsidR="001F1CD2">
        <w:rPr>
          <w:rFonts w:cs="Arial"/>
          <w:szCs w:val="24"/>
        </w:rPr>
        <w:t xml:space="preserve">limit </w:t>
      </w:r>
      <w:r>
        <w:rPr>
          <w:rFonts w:cs="Arial"/>
          <w:szCs w:val="24"/>
        </w:rPr>
        <w:t>but has exceeded the</w:t>
      </w:r>
      <w:r w:rsidRPr="00797EDE">
        <w:rPr>
          <w:rFonts w:cs="Arial"/>
          <w:szCs w:val="24"/>
        </w:rPr>
        <w:t xml:space="preserve"> operational limit. </w:t>
      </w:r>
      <w:r>
        <w:rPr>
          <w:rFonts w:cs="Arial"/>
          <w:szCs w:val="24"/>
        </w:rPr>
        <w:t xml:space="preserve">The operational limit has been exceeded partly </w:t>
      </w:r>
      <w:r w:rsidR="001F1CD2">
        <w:rPr>
          <w:rFonts w:cs="Arial"/>
          <w:szCs w:val="24"/>
        </w:rPr>
        <w:t xml:space="preserve">due to </w:t>
      </w:r>
      <w:r>
        <w:rPr>
          <w:rFonts w:cs="Arial"/>
          <w:szCs w:val="24"/>
        </w:rPr>
        <w:t xml:space="preserve">the opportunity to take long term borrowing at low rates </w:t>
      </w:r>
      <w:r w:rsidR="001F1CD2">
        <w:rPr>
          <w:rFonts w:cs="Arial"/>
          <w:szCs w:val="24"/>
        </w:rPr>
        <w:t>which</w:t>
      </w:r>
      <w:r>
        <w:rPr>
          <w:rFonts w:cs="Arial"/>
          <w:szCs w:val="24"/>
        </w:rPr>
        <w:t xml:space="preserve"> needed to be taken before existing debt matured. There is a possibility that borrowing rates may fall further in the remainder of the year </w:t>
      </w:r>
      <w:r w:rsidR="001F1CD2">
        <w:rPr>
          <w:rFonts w:cs="Arial"/>
          <w:szCs w:val="24"/>
        </w:rPr>
        <w:t xml:space="preserve">and </w:t>
      </w:r>
      <w:r>
        <w:rPr>
          <w:rFonts w:cs="Arial"/>
          <w:szCs w:val="24"/>
        </w:rPr>
        <w:t>the opportunity to secure advantageous rates may be lost due to the timing of existing debt maturing</w:t>
      </w:r>
      <w:r w:rsidR="001F1CD2">
        <w:rPr>
          <w:rFonts w:cs="Arial"/>
          <w:szCs w:val="24"/>
        </w:rPr>
        <w:t xml:space="preserve"> aligned to our authorised limit</w:t>
      </w:r>
      <w:r>
        <w:rPr>
          <w:rFonts w:cs="Arial"/>
          <w:szCs w:val="24"/>
        </w:rPr>
        <w:t>. Although it is not anticipated that this is a likely scenario</w:t>
      </w:r>
      <w:r w:rsidR="001F1CD2">
        <w:rPr>
          <w:rFonts w:cs="Arial"/>
          <w:szCs w:val="24"/>
        </w:rPr>
        <w:t>,</w:t>
      </w:r>
      <w:r>
        <w:rPr>
          <w:rFonts w:cs="Arial"/>
          <w:szCs w:val="24"/>
        </w:rPr>
        <w:t xml:space="preserve"> with the significant economic and political uncertainty that exists</w:t>
      </w:r>
      <w:r w:rsidR="001F1CD2">
        <w:rPr>
          <w:rFonts w:cs="Arial"/>
          <w:szCs w:val="24"/>
        </w:rPr>
        <w:t>,</w:t>
      </w:r>
      <w:r>
        <w:rPr>
          <w:rFonts w:cs="Arial"/>
          <w:szCs w:val="24"/>
        </w:rPr>
        <w:t xml:space="preserve"> it is recommended that an increase in the Authorised Limit for 2019/20 will enable the council to</w:t>
      </w:r>
      <w:r w:rsidRPr="00FC0C28">
        <w:rPr>
          <w:rFonts w:cs="Arial"/>
          <w:szCs w:val="24"/>
        </w:rPr>
        <w:t xml:space="preserve"> </w:t>
      </w:r>
      <w:r>
        <w:rPr>
          <w:rFonts w:cs="Arial"/>
          <w:szCs w:val="24"/>
        </w:rPr>
        <w:t xml:space="preserve">be in a position to take advantage of any unusual fall in rates. An increase from £1,375m </w:t>
      </w:r>
      <w:r w:rsidRPr="00F12006">
        <w:rPr>
          <w:rFonts w:cs="Arial"/>
          <w:szCs w:val="24"/>
        </w:rPr>
        <w:t>to £1,600m</w:t>
      </w:r>
      <w:r>
        <w:rPr>
          <w:rFonts w:cs="Arial"/>
          <w:szCs w:val="24"/>
        </w:rPr>
        <w:t xml:space="preserve"> is therefore requested and </w:t>
      </w:r>
      <w:r>
        <w:rPr>
          <w:rFonts w:cs="Arial"/>
        </w:rPr>
        <w:t>is reflective of the anticipated need to borrow in future years.</w:t>
      </w:r>
    </w:p>
    <w:p w:rsidR="00226DA9" w:rsidRDefault="00FC0C28" w:rsidP="00226DA9">
      <w:pPr>
        <w:jc w:val="both"/>
        <w:rPr>
          <w:rFonts w:cs="Arial"/>
          <w:color w:val="000000"/>
          <w:szCs w:val="24"/>
        </w:rPr>
      </w:pPr>
      <w:r w:rsidRPr="00797EDE">
        <w:rPr>
          <w:rFonts w:cs="Arial"/>
          <w:color w:val="000000"/>
          <w:szCs w:val="24"/>
        </w:rPr>
        <w:lastRenderedPageBreak/>
        <w:t xml:space="preserve">The current interest rate payable on debt measured by </w:t>
      </w:r>
      <w:proofErr w:type="spellStart"/>
      <w:r w:rsidRPr="00797EDE">
        <w:rPr>
          <w:rFonts w:cs="Arial"/>
          <w:color w:val="000000"/>
          <w:szCs w:val="24"/>
        </w:rPr>
        <w:t>Arlingclose</w:t>
      </w:r>
      <w:proofErr w:type="spellEnd"/>
      <w:r w:rsidRPr="00797EDE">
        <w:rPr>
          <w:rFonts w:cs="Arial"/>
          <w:color w:val="000000"/>
          <w:szCs w:val="24"/>
        </w:rPr>
        <w:t xml:space="preserve"> is </w:t>
      </w:r>
      <w:r w:rsidRPr="00740504">
        <w:rPr>
          <w:rFonts w:cs="Arial"/>
          <w:color w:val="000000"/>
          <w:szCs w:val="24"/>
        </w:rPr>
        <w:t>1.71%.</w:t>
      </w:r>
      <w:r w:rsidRPr="00797EDE">
        <w:rPr>
          <w:rFonts w:cs="Arial"/>
          <w:color w:val="000000"/>
          <w:szCs w:val="24"/>
        </w:rPr>
        <w:t xml:space="preserve"> The most recent benchmarking figure available of the average rate for all </w:t>
      </w:r>
      <w:proofErr w:type="spellStart"/>
      <w:r w:rsidRPr="00797EDE">
        <w:rPr>
          <w:rFonts w:cs="Arial"/>
          <w:color w:val="000000"/>
          <w:szCs w:val="24"/>
        </w:rPr>
        <w:t>Arlingclose</w:t>
      </w:r>
      <w:proofErr w:type="spellEnd"/>
      <w:r w:rsidRPr="00797EDE">
        <w:rPr>
          <w:rFonts w:cs="Arial"/>
          <w:color w:val="000000"/>
          <w:szCs w:val="24"/>
        </w:rPr>
        <w:t xml:space="preserve"> clients (as measured on 31 March 2019) is </w:t>
      </w:r>
      <w:r w:rsidRPr="00740504">
        <w:rPr>
          <w:rFonts w:cs="Arial"/>
          <w:color w:val="000000"/>
          <w:szCs w:val="24"/>
        </w:rPr>
        <w:t>3.65%.</w:t>
      </w:r>
    </w:p>
    <w:p w:rsidR="00226DA9" w:rsidRDefault="00FD7269" w:rsidP="00226DA9">
      <w:pPr>
        <w:jc w:val="both"/>
        <w:rPr>
          <w:rFonts w:cs="Arial"/>
          <w:color w:val="000000"/>
          <w:szCs w:val="24"/>
        </w:rPr>
      </w:pPr>
    </w:p>
    <w:p w:rsidR="00226DA9" w:rsidRDefault="00FC0C28" w:rsidP="00226DA9">
      <w:pPr>
        <w:jc w:val="both"/>
        <w:rPr>
          <w:rFonts w:cs="Arial"/>
          <w:b/>
          <w:color w:val="000000"/>
          <w:szCs w:val="24"/>
        </w:rPr>
      </w:pPr>
      <w:r w:rsidRPr="00603FB1">
        <w:rPr>
          <w:rFonts w:cs="Arial"/>
          <w:b/>
          <w:color w:val="000000"/>
          <w:szCs w:val="24"/>
        </w:rPr>
        <w:t>Non-treasury investment strategy</w:t>
      </w:r>
      <w:r w:rsidRPr="00D63AAA">
        <w:rPr>
          <w:rFonts w:cs="Arial"/>
          <w:b/>
          <w:color w:val="000000"/>
          <w:szCs w:val="24"/>
        </w:rPr>
        <w:t xml:space="preserve"> </w:t>
      </w:r>
    </w:p>
    <w:p w:rsidR="00226DA9" w:rsidRDefault="00FD7269" w:rsidP="00226DA9">
      <w:pPr>
        <w:jc w:val="both"/>
        <w:rPr>
          <w:rFonts w:cs="Arial"/>
          <w:b/>
          <w:color w:val="000000"/>
          <w:szCs w:val="24"/>
        </w:rPr>
      </w:pPr>
    </w:p>
    <w:p w:rsidR="00226DA9" w:rsidRDefault="00FC0C28" w:rsidP="00226DA9">
      <w:pPr>
        <w:jc w:val="both"/>
        <w:rPr>
          <w:rFonts w:cs="Arial"/>
          <w:color w:val="000000"/>
          <w:szCs w:val="24"/>
        </w:rPr>
      </w:pPr>
      <w:r>
        <w:rPr>
          <w:rFonts w:cs="Arial"/>
          <w:color w:val="000000"/>
          <w:szCs w:val="24"/>
        </w:rPr>
        <w:t>A non-treasury investment strategy was approved by the Full Council in February 2019.</w:t>
      </w:r>
      <w:r w:rsidRPr="00D63AAA">
        <w:rPr>
          <w:rFonts w:cs="Arial"/>
          <w:color w:val="000000"/>
          <w:szCs w:val="24"/>
        </w:rPr>
        <w:t xml:space="preserve"> </w:t>
      </w:r>
      <w:r>
        <w:rPr>
          <w:rFonts w:cs="Arial"/>
          <w:color w:val="000000"/>
          <w:szCs w:val="24"/>
        </w:rPr>
        <w:t xml:space="preserve">This enabled the </w:t>
      </w:r>
      <w:r w:rsidRPr="00D63AAA">
        <w:rPr>
          <w:rFonts w:cs="Arial"/>
          <w:color w:val="000000"/>
          <w:szCs w:val="24"/>
        </w:rPr>
        <w:t>invest</w:t>
      </w:r>
      <w:r>
        <w:rPr>
          <w:rFonts w:cs="Arial"/>
          <w:color w:val="000000"/>
          <w:szCs w:val="24"/>
        </w:rPr>
        <w:t>ment</w:t>
      </w:r>
      <w:r w:rsidRPr="00D63AAA">
        <w:rPr>
          <w:rFonts w:cs="Arial"/>
          <w:color w:val="000000"/>
          <w:szCs w:val="24"/>
        </w:rPr>
        <w:t xml:space="preserve"> in bonds for commercial purposes where cash-flow permit</w:t>
      </w:r>
      <w:r>
        <w:rPr>
          <w:rFonts w:cs="Arial"/>
          <w:color w:val="000000"/>
          <w:szCs w:val="24"/>
        </w:rPr>
        <w:t xml:space="preserve">s. In accordance with this, a number of other local authority loans were purchased from a bank. The cost of these at 30 September was </w:t>
      </w:r>
      <w:r w:rsidRPr="00723F15">
        <w:rPr>
          <w:rFonts w:cs="Arial"/>
          <w:color w:val="000000"/>
          <w:szCs w:val="24"/>
        </w:rPr>
        <w:t>£8</w:t>
      </w:r>
      <w:r w:rsidR="00FD7269">
        <w:rPr>
          <w:rFonts w:cs="Arial"/>
          <w:color w:val="000000"/>
          <w:szCs w:val="24"/>
        </w:rPr>
        <w:t xml:space="preserve">2m. </w:t>
      </w:r>
      <w:r>
        <w:rPr>
          <w:rFonts w:cs="Arial"/>
          <w:color w:val="000000"/>
          <w:szCs w:val="24"/>
        </w:rPr>
        <w:t>As the assets are considered to be a trading activity, any change in the market value of the assets as at 31 March 2020 will be charged or credited to the revenue account.</w:t>
      </w:r>
    </w:p>
    <w:p w:rsidR="00226DA9" w:rsidRDefault="00FD7269" w:rsidP="00226DA9">
      <w:pPr>
        <w:jc w:val="both"/>
        <w:rPr>
          <w:rFonts w:cs="Arial"/>
          <w:b/>
          <w:color w:val="000000"/>
          <w:szCs w:val="24"/>
        </w:rPr>
      </w:pPr>
    </w:p>
    <w:p w:rsidR="00226DA9" w:rsidRDefault="00FC0C28" w:rsidP="00226DA9">
      <w:pPr>
        <w:jc w:val="both"/>
        <w:rPr>
          <w:rFonts w:cs="Arial"/>
          <w:color w:val="000000"/>
          <w:szCs w:val="24"/>
        </w:rPr>
      </w:pPr>
      <w:r>
        <w:rPr>
          <w:rFonts w:cs="Arial"/>
          <w:color w:val="000000"/>
          <w:szCs w:val="24"/>
        </w:rPr>
        <w:t xml:space="preserve">A major factor causing changes in the value of the investments will be interest rate movements. To mitigate the risk of adverse movements, agreements were made in the period to buy Gilts at a future date as the impact would negatively correlate (have the opposite effect) with the impact on the investments. </w:t>
      </w:r>
      <w:r w:rsidRPr="00981335">
        <w:rPr>
          <w:rFonts w:cs="Arial"/>
          <w:color w:val="000000"/>
          <w:szCs w:val="24"/>
        </w:rPr>
        <w:t xml:space="preserve"> </w:t>
      </w:r>
      <w:r>
        <w:rPr>
          <w:rFonts w:cs="Arial"/>
          <w:color w:val="000000"/>
          <w:szCs w:val="24"/>
        </w:rPr>
        <w:t>It is anticipated that the net change in the market value will be broadly neutral although there may be some limited variation by the year-end.</w:t>
      </w:r>
    </w:p>
    <w:p w:rsidR="00226DA9" w:rsidRDefault="00FD7269" w:rsidP="00226DA9">
      <w:pPr>
        <w:jc w:val="both"/>
        <w:rPr>
          <w:rFonts w:cs="Arial"/>
          <w:color w:val="000000"/>
          <w:szCs w:val="24"/>
        </w:rPr>
      </w:pPr>
    </w:p>
    <w:p w:rsidR="00226DA9" w:rsidRDefault="00FC0C28" w:rsidP="00226DA9">
      <w:pPr>
        <w:jc w:val="both"/>
        <w:rPr>
          <w:rFonts w:cs="Arial"/>
          <w:color w:val="000000"/>
          <w:szCs w:val="24"/>
        </w:rPr>
      </w:pPr>
      <w:r>
        <w:rPr>
          <w:rFonts w:cs="Arial"/>
          <w:color w:val="000000"/>
          <w:szCs w:val="24"/>
        </w:rPr>
        <w:t xml:space="preserve">In addition, some corporate bonds and Gilts are held in the trading book which will also be subject to the same market value charge or credit to revenue. No market value changes have been recognised to date. It should be noted that the market values change on a daily basis and the charge or credit to the accounts will be based on the market value on the 31 March 2020.  </w:t>
      </w:r>
    </w:p>
    <w:p w:rsidR="00226DA9" w:rsidRPr="00D63AAA" w:rsidRDefault="00FC0C28" w:rsidP="00226DA9">
      <w:pPr>
        <w:jc w:val="both"/>
        <w:rPr>
          <w:rFonts w:cs="Arial"/>
          <w:color w:val="000000"/>
          <w:szCs w:val="24"/>
        </w:rPr>
      </w:pPr>
      <w:r w:rsidRPr="00D63AAA">
        <w:rPr>
          <w:rFonts w:cs="Arial"/>
          <w:color w:val="000000"/>
          <w:szCs w:val="24"/>
        </w:rPr>
        <w:t xml:space="preserve"> </w:t>
      </w:r>
    </w:p>
    <w:p w:rsidR="00226DA9" w:rsidRPr="00EF5E6B" w:rsidRDefault="00FC0C28" w:rsidP="00226DA9">
      <w:pPr>
        <w:rPr>
          <w:b/>
        </w:rPr>
      </w:pPr>
      <w:r w:rsidRPr="00EF5E6B">
        <w:rPr>
          <w:b/>
        </w:rPr>
        <w:t>Budget monitoring position</w:t>
      </w:r>
    </w:p>
    <w:p w:rsidR="00226DA9" w:rsidRPr="00EF5E6B" w:rsidRDefault="00FC0C28" w:rsidP="00226DA9">
      <w:r w:rsidRPr="00EF5E6B">
        <w:rPr>
          <w:b/>
        </w:rPr>
        <w:t xml:space="preserve"> </w:t>
      </w:r>
    </w:p>
    <w:p w:rsidR="00226DA9" w:rsidRPr="00EF5E6B" w:rsidRDefault="00FC0C28" w:rsidP="00226DA9">
      <w:pPr>
        <w:jc w:val="both"/>
        <w:rPr>
          <w:rFonts w:cs="Arial"/>
        </w:rPr>
      </w:pPr>
      <w:r>
        <w:rPr>
          <w:rFonts w:cs="Arial"/>
        </w:rPr>
        <w:t xml:space="preserve">It was reported to Cabinet in September that there is a </w:t>
      </w:r>
      <w:r w:rsidRPr="007F4A7A">
        <w:rPr>
          <w:rFonts w:cs="Arial"/>
        </w:rPr>
        <w:t xml:space="preserve">forecast </w:t>
      </w:r>
      <w:r>
        <w:rPr>
          <w:rFonts w:cs="Arial"/>
        </w:rPr>
        <w:t>underspend</w:t>
      </w:r>
      <w:r w:rsidRPr="007F4A7A">
        <w:rPr>
          <w:rFonts w:cs="Arial"/>
        </w:rPr>
        <w:t xml:space="preserve"> a</w:t>
      </w:r>
      <w:r>
        <w:rPr>
          <w:rFonts w:cs="Arial"/>
        </w:rPr>
        <w:t>gainst</w:t>
      </w:r>
      <w:r w:rsidRPr="007F4A7A">
        <w:rPr>
          <w:rFonts w:cs="Arial"/>
        </w:rPr>
        <w:t xml:space="preserve"> the treasury management budget </w:t>
      </w:r>
      <w:r>
        <w:rPr>
          <w:rFonts w:cs="Arial"/>
        </w:rPr>
        <w:t xml:space="preserve">of </w:t>
      </w:r>
      <w:r w:rsidRPr="007F4A7A">
        <w:rPr>
          <w:rFonts w:cs="Arial"/>
        </w:rPr>
        <w:t>£7m</w:t>
      </w:r>
      <w:r>
        <w:rPr>
          <w:rFonts w:cs="Arial"/>
        </w:rPr>
        <w:t>. This is</w:t>
      </w:r>
      <w:r w:rsidRPr="007F4A7A">
        <w:rPr>
          <w:rFonts w:cs="Arial"/>
        </w:rPr>
        <w:t xml:space="preserve"> primarily a</w:t>
      </w:r>
      <w:r>
        <w:rPr>
          <w:rFonts w:cs="Arial"/>
        </w:rPr>
        <w:t>s a</w:t>
      </w:r>
      <w:r w:rsidRPr="007F4A7A">
        <w:rPr>
          <w:rFonts w:cs="Arial"/>
        </w:rPr>
        <w:t xml:space="preserve"> result of extra income received through the continuing volatility in the price of Gilts and other bonds enabling sales to be made which have generated a surplus.</w:t>
      </w:r>
      <w:r>
        <w:rPr>
          <w:rFonts w:cs="Arial"/>
        </w:rPr>
        <w:t xml:space="preserve"> This represented the outcome of activity during quarter 1 and the quarter 2 position is being updated and will be reported at a future Cabinet meeting with the final outturn likely to be significantly different, and improved, from this last reported forecast, due to recent and continued market volatility. </w:t>
      </w:r>
    </w:p>
    <w:p w:rsidR="00226DA9" w:rsidRPr="00EF5E6B" w:rsidRDefault="00FD7269" w:rsidP="00226DA9">
      <w:pPr>
        <w:jc w:val="both"/>
        <w:rPr>
          <w:rFonts w:cs="Arial"/>
        </w:rPr>
      </w:pPr>
    </w:p>
    <w:p w:rsidR="00226DA9" w:rsidRPr="00EF5E6B" w:rsidRDefault="00FC0C28" w:rsidP="00226DA9">
      <w:pPr>
        <w:jc w:val="both"/>
        <w:rPr>
          <w:rFonts w:cs="Arial"/>
          <w:szCs w:val="24"/>
        </w:rPr>
      </w:pPr>
      <w:r w:rsidRPr="00EF5E6B">
        <w:rPr>
          <w:rFonts w:cs="Arial"/>
          <w:szCs w:val="24"/>
        </w:rPr>
        <w:t>The position is kept under regular review and discussed with the Director of Finance on a monthly basis.</w:t>
      </w:r>
    </w:p>
    <w:p w:rsidR="00226DA9" w:rsidRDefault="00FD7269" w:rsidP="00226DA9">
      <w:pPr>
        <w:pStyle w:val="ListParagraph"/>
        <w:ind w:left="0"/>
        <w:jc w:val="both"/>
        <w:rPr>
          <w:rFonts w:cs="Arial"/>
          <w:b/>
          <w:szCs w:val="24"/>
          <w:highlight w:val="green"/>
        </w:rPr>
      </w:pPr>
    </w:p>
    <w:p w:rsidR="00226DA9" w:rsidRPr="00F238E2" w:rsidRDefault="00FC0C28" w:rsidP="00226DA9">
      <w:pPr>
        <w:pStyle w:val="ListParagraph"/>
        <w:ind w:left="0"/>
        <w:jc w:val="both"/>
        <w:rPr>
          <w:rFonts w:cs="Arial"/>
          <w:b/>
          <w:szCs w:val="24"/>
        </w:rPr>
      </w:pPr>
      <w:r w:rsidRPr="00F238E2">
        <w:rPr>
          <w:rFonts w:cs="Arial"/>
          <w:b/>
          <w:szCs w:val="24"/>
        </w:rPr>
        <w:t xml:space="preserve">Prudential Indicators </w:t>
      </w:r>
    </w:p>
    <w:p w:rsidR="00226DA9" w:rsidRPr="00F238E2" w:rsidRDefault="00FD7269" w:rsidP="00226DA9">
      <w:pPr>
        <w:pStyle w:val="ListParagraph"/>
        <w:ind w:left="0"/>
        <w:jc w:val="both"/>
        <w:rPr>
          <w:rFonts w:cs="Arial"/>
          <w:b/>
          <w:szCs w:val="24"/>
        </w:rPr>
      </w:pPr>
    </w:p>
    <w:p w:rsidR="00226DA9" w:rsidRPr="00F238E2" w:rsidRDefault="00FC0C28" w:rsidP="00226DA9">
      <w:pPr>
        <w:pStyle w:val="ListParagraph"/>
        <w:ind w:left="0"/>
        <w:jc w:val="both"/>
        <w:rPr>
          <w:rFonts w:cs="Arial"/>
          <w:szCs w:val="24"/>
        </w:rPr>
      </w:pPr>
      <w:r w:rsidRPr="00F238E2">
        <w:rPr>
          <w:rFonts w:cs="Arial"/>
          <w:szCs w:val="24"/>
        </w:rPr>
        <w:t xml:space="preserve">The Treasury Management Strategy included some prudential indicators which provide a framework for the operation and risk management of </w:t>
      </w:r>
      <w:r>
        <w:rPr>
          <w:rFonts w:cs="Arial"/>
          <w:szCs w:val="24"/>
        </w:rPr>
        <w:t xml:space="preserve">the </w:t>
      </w:r>
      <w:r w:rsidRPr="00F238E2">
        <w:rPr>
          <w:rFonts w:cs="Arial"/>
          <w:szCs w:val="24"/>
        </w:rPr>
        <w:t>Treasury Management</w:t>
      </w:r>
      <w:r>
        <w:rPr>
          <w:rFonts w:cs="Arial"/>
          <w:szCs w:val="24"/>
        </w:rPr>
        <w:t xml:space="preserve"> function</w:t>
      </w:r>
      <w:r w:rsidRPr="00F238E2">
        <w:rPr>
          <w:rFonts w:cs="Arial"/>
          <w:szCs w:val="24"/>
        </w:rPr>
        <w:t>. These are shown below for 2019/20 with the latest available actual position</w:t>
      </w:r>
      <w:r>
        <w:rPr>
          <w:rFonts w:cs="Arial"/>
          <w:szCs w:val="24"/>
        </w:rPr>
        <w:t>.</w:t>
      </w:r>
    </w:p>
    <w:p w:rsidR="00226DA9" w:rsidRPr="00F238E2" w:rsidRDefault="00FC0C28" w:rsidP="00226DA9">
      <w:pPr>
        <w:jc w:val="both"/>
        <w:rPr>
          <w:rFonts w:cs="Arial"/>
          <w:szCs w:val="24"/>
        </w:rPr>
      </w:pPr>
      <w:r w:rsidRPr="00F238E2">
        <w:rPr>
          <w:rFonts w:cs="Arial"/>
          <w:b/>
          <w:bCs/>
          <w:i/>
          <w:szCs w:val="24"/>
        </w:rPr>
        <w:t>Authorised and Operational Limits for debt</w:t>
      </w:r>
    </w:p>
    <w:p w:rsidR="00226DA9" w:rsidRPr="00F238E2" w:rsidRDefault="00FC0C28" w:rsidP="00226DA9">
      <w:pPr>
        <w:jc w:val="both"/>
        <w:rPr>
          <w:rFonts w:cs="Arial"/>
          <w:szCs w:val="24"/>
        </w:rPr>
      </w:pPr>
      <w:r w:rsidRPr="00F238E2">
        <w:rPr>
          <w:rFonts w:cs="Arial"/>
          <w:szCs w:val="24"/>
        </w:rPr>
        <w:t xml:space="preserve">The 'authorised limit' is a prudent estimate of external debt, but allows sufficient headroom for unusual cash flow movements.  </w:t>
      </w:r>
      <w:r>
        <w:rPr>
          <w:rFonts w:cs="Arial"/>
          <w:szCs w:val="24"/>
        </w:rPr>
        <w:t>During the year the Director of Finance approved the re-allocation of the Authorised Limit between the borrowing and other long term liabilities to provide some additional flexibility to take long term borrowing. This approval is in accordance with the Prudential Code.</w:t>
      </w:r>
    </w:p>
    <w:p w:rsidR="00226DA9" w:rsidRPr="00F238E2" w:rsidRDefault="00FD7269" w:rsidP="00226DA9">
      <w:pPr>
        <w:jc w:val="both"/>
        <w:rPr>
          <w:rFonts w:cs="Arial"/>
          <w:szCs w:val="24"/>
        </w:rPr>
      </w:pPr>
    </w:p>
    <w:tbl>
      <w:tblPr>
        <w:tblW w:w="7656" w:type="dxa"/>
        <w:tblLook w:val="04A0" w:firstRow="1" w:lastRow="0" w:firstColumn="1" w:lastColumn="0" w:noHBand="0" w:noVBand="1"/>
      </w:tblPr>
      <w:tblGrid>
        <w:gridCol w:w="2977"/>
        <w:gridCol w:w="1559"/>
        <w:gridCol w:w="1560"/>
        <w:gridCol w:w="1560"/>
      </w:tblGrid>
      <w:tr w:rsidR="008B7DB0" w:rsidTr="00226DA9">
        <w:trPr>
          <w:trHeight w:val="300"/>
        </w:trPr>
        <w:tc>
          <w:tcPr>
            <w:tcW w:w="2977" w:type="dxa"/>
            <w:tcBorders>
              <w:top w:val="nil"/>
              <w:left w:val="nil"/>
              <w:bottom w:val="nil"/>
              <w:right w:val="nil"/>
            </w:tcBorders>
            <w:shd w:val="clear" w:color="auto" w:fill="auto"/>
            <w:noWrap/>
            <w:vAlign w:val="bottom"/>
            <w:hideMark/>
          </w:tcPr>
          <w:p w:rsidR="00226DA9" w:rsidRPr="00F238E2" w:rsidRDefault="00FD7269" w:rsidP="00226DA9">
            <w:pPr>
              <w:rPr>
                <w:rFonts w:cs="Arial"/>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Pr>
                <w:rFonts w:cs="Arial"/>
                <w:color w:val="000000"/>
                <w:szCs w:val="24"/>
              </w:rPr>
              <w:t>Initial limit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26DA9" w:rsidRDefault="00FD7269" w:rsidP="00226DA9">
            <w:pPr>
              <w:jc w:val="right"/>
              <w:rPr>
                <w:rFonts w:cs="Arial"/>
                <w:color w:val="000000"/>
                <w:szCs w:val="24"/>
              </w:rPr>
            </w:pPr>
          </w:p>
          <w:p w:rsidR="00226DA9" w:rsidRPr="00F238E2" w:rsidRDefault="00FC0C28" w:rsidP="00226DA9">
            <w:pPr>
              <w:jc w:val="right"/>
              <w:rPr>
                <w:rFonts w:cs="Arial"/>
                <w:color w:val="000000"/>
                <w:szCs w:val="24"/>
              </w:rPr>
            </w:pPr>
            <w:r>
              <w:rPr>
                <w:rFonts w:cs="Arial"/>
                <w:color w:val="000000"/>
                <w:szCs w:val="24"/>
              </w:rPr>
              <w:t>Revised limit</w:t>
            </w:r>
          </w:p>
        </w:tc>
        <w:tc>
          <w:tcPr>
            <w:tcW w:w="1560" w:type="dxa"/>
            <w:tcBorders>
              <w:top w:val="single" w:sz="4" w:space="0" w:color="auto"/>
              <w:left w:val="nil"/>
              <w:bottom w:val="single" w:sz="4" w:space="0" w:color="auto"/>
              <w:right w:val="single" w:sz="4" w:space="0" w:color="auto"/>
            </w:tcBorders>
          </w:tcPr>
          <w:p w:rsidR="00FC0C28" w:rsidRDefault="00FC0C28" w:rsidP="00226DA9">
            <w:pPr>
              <w:jc w:val="right"/>
              <w:rPr>
                <w:rFonts w:cs="Arial"/>
                <w:color w:val="000000"/>
                <w:szCs w:val="24"/>
              </w:rPr>
            </w:pPr>
          </w:p>
          <w:p w:rsidR="00226DA9" w:rsidRPr="00F238E2" w:rsidRDefault="00FC0C28" w:rsidP="00226DA9">
            <w:pPr>
              <w:jc w:val="right"/>
              <w:rPr>
                <w:rFonts w:cs="Arial"/>
                <w:color w:val="000000"/>
                <w:szCs w:val="24"/>
              </w:rPr>
            </w:pPr>
            <w:r>
              <w:rPr>
                <w:rFonts w:cs="Arial"/>
                <w:color w:val="000000"/>
                <w:szCs w:val="24"/>
              </w:rPr>
              <w:t>Actual</w:t>
            </w:r>
          </w:p>
        </w:tc>
      </w:tr>
      <w:tr w:rsidR="008B7DB0" w:rsidTr="00226DA9">
        <w:trPr>
          <w:trHeight w:val="300"/>
        </w:trPr>
        <w:tc>
          <w:tcPr>
            <w:tcW w:w="2977" w:type="dxa"/>
            <w:tcBorders>
              <w:top w:val="nil"/>
              <w:left w:val="nil"/>
              <w:bottom w:val="nil"/>
              <w:right w:val="nil"/>
            </w:tcBorders>
            <w:shd w:val="clear" w:color="auto" w:fill="auto"/>
            <w:noWrap/>
            <w:vAlign w:val="bottom"/>
            <w:hideMark/>
          </w:tcPr>
          <w:p w:rsidR="00226DA9" w:rsidRPr="00F238E2" w:rsidRDefault="00FD7269" w:rsidP="00226DA9">
            <w:pPr>
              <w:rPr>
                <w:rFonts w:cs="Arial"/>
                <w:color w:val="000000"/>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£m</w:t>
            </w:r>
          </w:p>
        </w:tc>
        <w:tc>
          <w:tcPr>
            <w:tcW w:w="1560"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£m</w:t>
            </w:r>
          </w:p>
        </w:tc>
        <w:tc>
          <w:tcPr>
            <w:tcW w:w="1560" w:type="dxa"/>
            <w:tcBorders>
              <w:top w:val="nil"/>
              <w:left w:val="nil"/>
              <w:bottom w:val="single" w:sz="4" w:space="0" w:color="auto"/>
              <w:right w:val="single" w:sz="4" w:space="0" w:color="auto"/>
            </w:tcBorders>
          </w:tcPr>
          <w:p w:rsidR="00226DA9" w:rsidRPr="00F238E2" w:rsidRDefault="00FC0C28" w:rsidP="00226DA9">
            <w:pPr>
              <w:jc w:val="right"/>
              <w:rPr>
                <w:rFonts w:cs="Arial"/>
                <w:color w:val="000000"/>
                <w:szCs w:val="24"/>
              </w:rPr>
            </w:pPr>
            <w:r>
              <w:rPr>
                <w:rFonts w:cs="Arial"/>
                <w:color w:val="000000"/>
                <w:szCs w:val="24"/>
              </w:rPr>
              <w:t>£m</w:t>
            </w:r>
          </w:p>
        </w:tc>
      </w:tr>
      <w:tr w:rsidR="008B7DB0" w:rsidTr="00226DA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Borrowing</w:t>
            </w:r>
          </w:p>
        </w:tc>
        <w:tc>
          <w:tcPr>
            <w:tcW w:w="1559"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sidRPr="00F238E2">
              <w:rPr>
                <w:rFonts w:cs="Arial"/>
                <w:color w:val="000000"/>
                <w:szCs w:val="24"/>
              </w:rPr>
              <w:t>1,</w:t>
            </w:r>
            <w:r>
              <w:rPr>
                <w:rFonts w:cs="Arial"/>
                <w:color w:val="000000"/>
                <w:szCs w:val="24"/>
              </w:rPr>
              <w:t>200</w:t>
            </w:r>
          </w:p>
        </w:tc>
        <w:tc>
          <w:tcPr>
            <w:tcW w:w="1560"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Pr>
                <w:rFonts w:cs="Arial"/>
                <w:color w:val="000000"/>
                <w:szCs w:val="24"/>
              </w:rPr>
              <w:t>1,225</w:t>
            </w:r>
          </w:p>
        </w:tc>
        <w:tc>
          <w:tcPr>
            <w:tcW w:w="1560" w:type="dxa"/>
            <w:tcBorders>
              <w:top w:val="nil"/>
              <w:left w:val="nil"/>
              <w:bottom w:val="single" w:sz="4" w:space="0" w:color="auto"/>
              <w:right w:val="single" w:sz="4" w:space="0" w:color="auto"/>
            </w:tcBorders>
          </w:tcPr>
          <w:p w:rsidR="00226DA9" w:rsidRDefault="00FC0C28" w:rsidP="00226DA9">
            <w:pPr>
              <w:jc w:val="right"/>
              <w:rPr>
                <w:rFonts w:cs="Arial"/>
                <w:color w:val="000000"/>
                <w:szCs w:val="24"/>
              </w:rPr>
            </w:pPr>
            <w:r>
              <w:rPr>
                <w:rFonts w:cs="Arial"/>
                <w:color w:val="000000"/>
                <w:szCs w:val="24"/>
              </w:rPr>
              <w:t>1,176</w:t>
            </w:r>
          </w:p>
        </w:tc>
      </w:tr>
      <w:tr w:rsidR="008B7DB0" w:rsidTr="00226DA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sidRPr="00F238E2">
              <w:rPr>
                <w:rFonts w:cs="Arial"/>
                <w:color w:val="000000"/>
                <w:szCs w:val="24"/>
              </w:rPr>
              <w:t>175</w:t>
            </w:r>
          </w:p>
        </w:tc>
        <w:tc>
          <w:tcPr>
            <w:tcW w:w="1560"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Pr>
                <w:rFonts w:cs="Arial"/>
                <w:color w:val="000000"/>
                <w:szCs w:val="24"/>
              </w:rPr>
              <w:t>150</w:t>
            </w:r>
          </w:p>
        </w:tc>
        <w:tc>
          <w:tcPr>
            <w:tcW w:w="1560" w:type="dxa"/>
            <w:tcBorders>
              <w:top w:val="nil"/>
              <w:left w:val="nil"/>
              <w:bottom w:val="single" w:sz="4" w:space="0" w:color="auto"/>
              <w:right w:val="single" w:sz="4" w:space="0" w:color="auto"/>
            </w:tcBorders>
          </w:tcPr>
          <w:p w:rsidR="00226DA9" w:rsidRDefault="00FC0C28" w:rsidP="00226DA9">
            <w:pPr>
              <w:jc w:val="right"/>
              <w:rPr>
                <w:rFonts w:cs="Arial"/>
                <w:color w:val="000000"/>
                <w:szCs w:val="24"/>
              </w:rPr>
            </w:pPr>
            <w:r>
              <w:rPr>
                <w:rFonts w:cs="Arial"/>
                <w:color w:val="000000"/>
                <w:szCs w:val="24"/>
              </w:rPr>
              <w:t>147</w:t>
            </w:r>
          </w:p>
        </w:tc>
      </w:tr>
      <w:tr w:rsidR="008B7DB0" w:rsidTr="00226DA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26DA9" w:rsidRPr="00F238E2" w:rsidRDefault="00FC0C28" w:rsidP="00226DA9">
            <w:pPr>
              <w:rPr>
                <w:rFonts w:cs="Arial"/>
                <w:color w:val="000000"/>
                <w:szCs w:val="24"/>
              </w:rPr>
            </w:pPr>
            <w:r w:rsidRPr="00F238E2">
              <w:rPr>
                <w:rFonts w:cs="Arial"/>
                <w:color w:val="000000"/>
                <w:szCs w:val="24"/>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rsidR="00226DA9" w:rsidRPr="00F238E2" w:rsidRDefault="00FC0C28" w:rsidP="00226DA9">
            <w:pPr>
              <w:jc w:val="right"/>
              <w:rPr>
                <w:rFonts w:cs="Arial"/>
                <w:color w:val="000000"/>
                <w:szCs w:val="24"/>
              </w:rPr>
            </w:pPr>
            <w:r>
              <w:rPr>
                <w:rFonts w:cs="Arial"/>
                <w:color w:val="000000"/>
                <w:szCs w:val="24"/>
              </w:rPr>
              <w:t>1,37</w:t>
            </w:r>
            <w:r w:rsidRPr="00F238E2">
              <w:rPr>
                <w:rFonts w:cs="Arial"/>
                <w:color w:val="000000"/>
                <w:szCs w:val="24"/>
              </w:rPr>
              <w:t>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226DA9" w:rsidRPr="00F238E2" w:rsidRDefault="00FC0C28" w:rsidP="00226DA9">
            <w:pPr>
              <w:jc w:val="right"/>
              <w:rPr>
                <w:rFonts w:cs="Arial"/>
                <w:color w:val="000000"/>
                <w:szCs w:val="24"/>
              </w:rPr>
            </w:pPr>
            <w:r>
              <w:rPr>
                <w:rFonts w:cs="Arial"/>
                <w:color w:val="000000"/>
                <w:szCs w:val="24"/>
              </w:rPr>
              <w:t>1,375</w:t>
            </w:r>
          </w:p>
        </w:tc>
        <w:tc>
          <w:tcPr>
            <w:tcW w:w="1560" w:type="dxa"/>
            <w:tcBorders>
              <w:top w:val="nil"/>
              <w:left w:val="nil"/>
              <w:bottom w:val="single" w:sz="4" w:space="0" w:color="auto"/>
              <w:right w:val="single" w:sz="4" w:space="0" w:color="auto"/>
            </w:tcBorders>
            <w:shd w:val="clear" w:color="auto" w:fill="DBE5F1" w:themeFill="accent1" w:themeFillTint="33"/>
          </w:tcPr>
          <w:p w:rsidR="00226DA9" w:rsidRDefault="00FC0C28" w:rsidP="00226DA9">
            <w:pPr>
              <w:jc w:val="right"/>
              <w:rPr>
                <w:rFonts w:cs="Arial"/>
                <w:color w:val="000000"/>
                <w:szCs w:val="24"/>
              </w:rPr>
            </w:pPr>
            <w:r>
              <w:rPr>
                <w:rFonts w:cs="Arial"/>
                <w:color w:val="000000"/>
                <w:szCs w:val="24"/>
              </w:rPr>
              <w:t>1,323</w:t>
            </w:r>
          </w:p>
        </w:tc>
      </w:tr>
    </w:tbl>
    <w:p w:rsidR="00226DA9" w:rsidRPr="00F238E2" w:rsidRDefault="00FD7269" w:rsidP="00226DA9">
      <w:pPr>
        <w:jc w:val="both"/>
        <w:rPr>
          <w:rFonts w:cs="Arial"/>
          <w:szCs w:val="24"/>
        </w:rPr>
      </w:pPr>
    </w:p>
    <w:p w:rsidR="00226DA9" w:rsidRDefault="00FC0C28" w:rsidP="00226DA9">
      <w:pPr>
        <w:spacing w:after="240"/>
        <w:jc w:val="both"/>
        <w:rPr>
          <w:rFonts w:cs="Arial"/>
          <w:szCs w:val="24"/>
        </w:rPr>
      </w:pPr>
      <w:r w:rsidRPr="00F238E2">
        <w:rPr>
          <w:rFonts w:cs="Arial"/>
          <w:szCs w:val="24"/>
        </w:rPr>
        <w:t>The 'operational limit' for external debt is based on the same estimates as the authorised limit. However, although it reflects a prudent estimate of debt, there is no provision for unusual cash flow movements. In effect, it represents the estimated maximum external debt arising as a consequence of the council's current plans. As required under the Code, this limit will be carefully monitored during the year. The proposed operational limits for external debt are:</w:t>
      </w:r>
    </w:p>
    <w:tbl>
      <w:tblPr>
        <w:tblW w:w="6526" w:type="dxa"/>
        <w:tblInd w:w="-5" w:type="dxa"/>
        <w:tblLayout w:type="fixed"/>
        <w:tblLook w:val="0000" w:firstRow="0" w:lastRow="0" w:firstColumn="0" w:lastColumn="0" w:noHBand="0" w:noVBand="0"/>
      </w:tblPr>
      <w:tblGrid>
        <w:gridCol w:w="2977"/>
        <w:gridCol w:w="1564"/>
        <w:gridCol w:w="1985"/>
      </w:tblGrid>
      <w:tr w:rsidR="008B7DB0" w:rsidTr="00226DA9">
        <w:trPr>
          <w:trHeight w:val="300"/>
        </w:trPr>
        <w:tc>
          <w:tcPr>
            <w:tcW w:w="2977" w:type="dxa"/>
            <w:tcBorders>
              <w:top w:val="nil"/>
              <w:left w:val="nil"/>
              <w:bottom w:val="nil"/>
              <w:right w:val="nil"/>
            </w:tcBorders>
            <w:shd w:val="clear" w:color="auto" w:fill="auto"/>
            <w:noWrap/>
            <w:vAlign w:val="bottom"/>
            <w:hideMark/>
          </w:tcPr>
          <w:p w:rsidR="00226DA9" w:rsidRPr="00F238E2" w:rsidRDefault="00FD7269" w:rsidP="00226DA9">
            <w:pPr>
              <w:rPr>
                <w:rFonts w:cs="Arial"/>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Pr>
                <w:rFonts w:cs="Arial"/>
                <w:color w:val="000000"/>
                <w:szCs w:val="24"/>
              </w:rPr>
              <w:t>Limit</w:t>
            </w:r>
            <w:r w:rsidRPr="00F238E2">
              <w:rPr>
                <w:rFonts w:cs="Arial"/>
                <w:color w:val="000000"/>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Pr>
                <w:rFonts w:cs="Arial"/>
                <w:color w:val="000000"/>
                <w:szCs w:val="24"/>
              </w:rPr>
              <w:t>Actual</w:t>
            </w:r>
          </w:p>
        </w:tc>
      </w:tr>
      <w:tr w:rsidR="008B7DB0" w:rsidTr="00226DA9">
        <w:trPr>
          <w:trHeight w:val="300"/>
        </w:trPr>
        <w:tc>
          <w:tcPr>
            <w:tcW w:w="2977" w:type="dxa"/>
            <w:tcBorders>
              <w:top w:val="nil"/>
              <w:left w:val="nil"/>
              <w:bottom w:val="nil"/>
              <w:right w:val="nil"/>
            </w:tcBorders>
            <w:shd w:val="clear" w:color="auto" w:fill="auto"/>
            <w:noWrap/>
            <w:vAlign w:val="bottom"/>
            <w:hideMark/>
          </w:tcPr>
          <w:p w:rsidR="00226DA9" w:rsidRPr="00F238E2" w:rsidRDefault="00FD7269" w:rsidP="00226DA9">
            <w:pPr>
              <w:rPr>
                <w:rFonts w:cs="Arial"/>
                <w:color w:val="000000"/>
                <w:szCs w:val="24"/>
              </w:rPr>
            </w:pP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£m</w:t>
            </w:r>
          </w:p>
        </w:tc>
        <w:tc>
          <w:tcPr>
            <w:tcW w:w="1985"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£m</w:t>
            </w:r>
          </w:p>
        </w:tc>
      </w:tr>
      <w:tr w:rsidR="008B7DB0" w:rsidTr="00226DA9">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Borrowing</w:t>
            </w:r>
          </w:p>
        </w:tc>
        <w:tc>
          <w:tcPr>
            <w:tcW w:w="1564" w:type="dxa"/>
            <w:tcBorders>
              <w:top w:val="nil"/>
              <w:left w:val="nil"/>
              <w:bottom w:val="single" w:sz="4" w:space="0" w:color="auto"/>
              <w:right w:val="single" w:sz="4" w:space="0" w:color="auto"/>
            </w:tcBorders>
            <w:shd w:val="clear" w:color="auto" w:fill="auto"/>
            <w:noWrap/>
            <w:vAlign w:val="bottom"/>
            <w:hideMark/>
          </w:tcPr>
          <w:p w:rsidR="00226DA9" w:rsidRPr="00F238E2" w:rsidRDefault="00FC0C28" w:rsidP="00226DA9">
            <w:pPr>
              <w:jc w:val="right"/>
              <w:rPr>
                <w:rFonts w:cs="Arial"/>
                <w:color w:val="000000"/>
                <w:szCs w:val="24"/>
              </w:rPr>
            </w:pPr>
            <w:r w:rsidRPr="00F238E2">
              <w:rPr>
                <w:rFonts w:cs="Arial"/>
                <w:color w:val="000000"/>
                <w:szCs w:val="24"/>
              </w:rPr>
              <w:t>1,1</w:t>
            </w:r>
            <w:r>
              <w:rPr>
                <w:rFonts w:cs="Arial"/>
                <w:color w:val="000000"/>
                <w:szCs w:val="24"/>
              </w:rPr>
              <w:t>1</w:t>
            </w:r>
            <w:r w:rsidRPr="00F238E2">
              <w:rPr>
                <w:rFonts w:cs="Arial"/>
                <w:color w:val="000000"/>
                <w:szCs w:val="24"/>
              </w:rPr>
              <w:t>0</w:t>
            </w:r>
          </w:p>
        </w:tc>
        <w:tc>
          <w:tcPr>
            <w:tcW w:w="1985"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Pr>
                <w:rFonts w:cs="Arial"/>
                <w:color w:val="000000"/>
                <w:szCs w:val="24"/>
              </w:rPr>
              <w:t>1,176</w:t>
            </w:r>
          </w:p>
        </w:tc>
      </w:tr>
      <w:tr w:rsidR="008B7DB0" w:rsidTr="00226DA9">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sidRPr="00F238E2">
              <w:rPr>
                <w:rFonts w:cs="Arial"/>
                <w:color w:val="000000"/>
                <w:szCs w:val="24"/>
              </w:rPr>
              <w:t>155</w:t>
            </w:r>
          </w:p>
        </w:tc>
        <w:tc>
          <w:tcPr>
            <w:tcW w:w="1985"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Pr>
                <w:rFonts w:cs="Arial"/>
                <w:color w:val="000000"/>
                <w:szCs w:val="24"/>
              </w:rPr>
              <w:t>147</w:t>
            </w:r>
          </w:p>
        </w:tc>
      </w:tr>
      <w:tr w:rsidR="008B7DB0" w:rsidTr="00226DA9">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26DA9" w:rsidRPr="00F238E2" w:rsidRDefault="00FC0C28" w:rsidP="00226DA9">
            <w:pPr>
              <w:rPr>
                <w:rFonts w:cs="Arial"/>
                <w:color w:val="000000"/>
                <w:szCs w:val="24"/>
              </w:rPr>
            </w:pPr>
            <w:r w:rsidRPr="00F238E2">
              <w:rPr>
                <w:rFonts w:cs="Arial"/>
                <w:color w:val="000000"/>
                <w:szCs w:val="24"/>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rsidR="00226DA9" w:rsidRPr="00F238E2" w:rsidRDefault="00FC0C28" w:rsidP="00226DA9">
            <w:pPr>
              <w:jc w:val="right"/>
              <w:rPr>
                <w:rFonts w:cs="Arial"/>
                <w:color w:val="000000"/>
                <w:szCs w:val="24"/>
              </w:rPr>
            </w:pPr>
            <w:r w:rsidRPr="00F238E2">
              <w:rPr>
                <w:rFonts w:cs="Arial"/>
                <w:color w:val="000000"/>
                <w:szCs w:val="24"/>
              </w:rPr>
              <w:t>1,2</w:t>
            </w:r>
            <w:r>
              <w:rPr>
                <w:rFonts w:cs="Arial"/>
                <w:color w:val="000000"/>
                <w:szCs w:val="24"/>
              </w:rPr>
              <w:t>6</w:t>
            </w:r>
            <w:r w:rsidRPr="00F238E2">
              <w:rPr>
                <w:rFonts w:cs="Arial"/>
                <w:color w:val="000000"/>
                <w:szCs w:val="24"/>
              </w:rPr>
              <w:t>5</w:t>
            </w:r>
          </w:p>
        </w:tc>
        <w:tc>
          <w:tcPr>
            <w:tcW w:w="1985" w:type="dxa"/>
            <w:tcBorders>
              <w:top w:val="nil"/>
              <w:left w:val="nil"/>
              <w:bottom w:val="single" w:sz="4" w:space="0" w:color="auto"/>
              <w:right w:val="single" w:sz="4" w:space="0" w:color="auto"/>
            </w:tcBorders>
            <w:shd w:val="clear" w:color="auto" w:fill="DBE5F1" w:themeFill="accent1" w:themeFillTint="33"/>
            <w:noWrap/>
            <w:vAlign w:val="bottom"/>
          </w:tcPr>
          <w:p w:rsidR="00226DA9" w:rsidRPr="00F238E2" w:rsidRDefault="00FC0C28" w:rsidP="00226DA9">
            <w:pPr>
              <w:jc w:val="right"/>
              <w:rPr>
                <w:rFonts w:cs="Arial"/>
                <w:color w:val="000000"/>
                <w:szCs w:val="24"/>
              </w:rPr>
            </w:pPr>
            <w:r>
              <w:rPr>
                <w:rFonts w:cs="Arial"/>
                <w:color w:val="000000"/>
                <w:szCs w:val="24"/>
              </w:rPr>
              <w:t>1,323</w:t>
            </w:r>
          </w:p>
        </w:tc>
      </w:tr>
    </w:tbl>
    <w:p w:rsidR="00226DA9" w:rsidRPr="00F238E2" w:rsidRDefault="00FD7269" w:rsidP="00226DA9">
      <w:pPr>
        <w:jc w:val="both"/>
        <w:rPr>
          <w:rFonts w:cs="Arial"/>
          <w:bCs/>
          <w:szCs w:val="24"/>
        </w:rPr>
      </w:pPr>
    </w:p>
    <w:p w:rsidR="00226DA9" w:rsidRDefault="00FC0C28" w:rsidP="00226DA9">
      <w:pPr>
        <w:jc w:val="both"/>
        <w:rPr>
          <w:rFonts w:cs="Arial"/>
          <w:bCs/>
          <w:szCs w:val="24"/>
        </w:rPr>
      </w:pPr>
      <w:r>
        <w:rPr>
          <w:rFonts w:cs="Arial"/>
          <w:bCs/>
          <w:szCs w:val="24"/>
        </w:rPr>
        <w:t>As explained in the report the timing of taking long term loans has resulted in the level of borrowing being above the operational limit. It is anticipated that by the end of the financial year the level will be within the operational limits unless a decision is taken to borrow in advance for future needs as permitted by the Prudential Code.</w:t>
      </w:r>
    </w:p>
    <w:p w:rsidR="00226DA9" w:rsidRPr="00F238E2" w:rsidRDefault="00FD7269" w:rsidP="00226DA9">
      <w:pPr>
        <w:jc w:val="both"/>
        <w:rPr>
          <w:rFonts w:cs="Arial"/>
          <w:bCs/>
          <w:szCs w:val="24"/>
        </w:rPr>
      </w:pPr>
    </w:p>
    <w:p w:rsidR="00226DA9" w:rsidRPr="00F238E2" w:rsidRDefault="00FC0C28" w:rsidP="00226DA9">
      <w:pPr>
        <w:jc w:val="both"/>
        <w:rPr>
          <w:rFonts w:cs="Arial"/>
          <w:b/>
          <w:bCs/>
          <w:i/>
          <w:szCs w:val="24"/>
        </w:rPr>
      </w:pPr>
      <w:r w:rsidRPr="00F238E2">
        <w:rPr>
          <w:rFonts w:cs="Arial"/>
          <w:b/>
          <w:bCs/>
          <w:i/>
          <w:szCs w:val="24"/>
        </w:rPr>
        <w:t xml:space="preserve">Gross debt and the capital financing requirement </w:t>
      </w:r>
    </w:p>
    <w:p w:rsidR="00226DA9" w:rsidRPr="00F238E2" w:rsidRDefault="00FC0C28" w:rsidP="00226DA9">
      <w:pPr>
        <w:jc w:val="both"/>
        <w:rPr>
          <w:rFonts w:cs="Arial"/>
          <w:b/>
          <w:bCs/>
          <w:i/>
          <w:szCs w:val="24"/>
        </w:rPr>
      </w:pPr>
      <w:r w:rsidRPr="00F238E2">
        <w:rPr>
          <w:rFonts w:cs="Arial"/>
          <w:bCs/>
          <w:szCs w:val="24"/>
        </w:rPr>
        <w:t xml:space="preserve">CIPFA’s Prudential Code for Capital Finance in Local Authorities recommends that the authority’s total debt should be lower than its highest forecast </w:t>
      </w:r>
      <w:r w:rsidR="002D7012">
        <w:rPr>
          <w:rFonts w:cs="Arial"/>
          <w:bCs/>
          <w:szCs w:val="24"/>
        </w:rPr>
        <w:t>c</w:t>
      </w:r>
      <w:r>
        <w:rPr>
          <w:rFonts w:cs="Arial"/>
          <w:bCs/>
          <w:szCs w:val="24"/>
        </w:rPr>
        <w:t xml:space="preserve">apital </w:t>
      </w:r>
      <w:r w:rsidR="002D7012">
        <w:rPr>
          <w:rFonts w:cs="Arial"/>
          <w:bCs/>
          <w:szCs w:val="24"/>
        </w:rPr>
        <w:t>f</w:t>
      </w:r>
      <w:r>
        <w:rPr>
          <w:rFonts w:cs="Arial"/>
          <w:bCs/>
          <w:szCs w:val="24"/>
        </w:rPr>
        <w:t xml:space="preserve">inancing </w:t>
      </w:r>
      <w:r w:rsidR="002D7012">
        <w:rPr>
          <w:rFonts w:cs="Arial"/>
          <w:bCs/>
          <w:szCs w:val="24"/>
        </w:rPr>
        <w:t>r</w:t>
      </w:r>
      <w:r>
        <w:rPr>
          <w:rFonts w:cs="Arial"/>
          <w:bCs/>
          <w:szCs w:val="24"/>
        </w:rPr>
        <w:t xml:space="preserve">equirement </w:t>
      </w:r>
      <w:r w:rsidRPr="00F238E2">
        <w:rPr>
          <w:rFonts w:cs="Arial"/>
          <w:bCs/>
          <w:szCs w:val="24"/>
        </w:rPr>
        <w:t>over the next three years. The county council</w:t>
      </w:r>
      <w:r>
        <w:rPr>
          <w:rFonts w:cs="Arial"/>
          <w:bCs/>
          <w:szCs w:val="24"/>
        </w:rPr>
        <w:t>'</w:t>
      </w:r>
      <w:r w:rsidRPr="00F238E2">
        <w:rPr>
          <w:rFonts w:cs="Arial"/>
          <w:bCs/>
          <w:szCs w:val="24"/>
        </w:rPr>
        <w:t xml:space="preserve">s </w:t>
      </w:r>
      <w:r>
        <w:rPr>
          <w:rFonts w:cs="Arial"/>
          <w:bCs/>
          <w:szCs w:val="24"/>
        </w:rPr>
        <w:t xml:space="preserve">overall </w:t>
      </w:r>
      <w:r w:rsidRPr="00F238E2">
        <w:rPr>
          <w:rFonts w:cs="Arial"/>
          <w:bCs/>
          <w:szCs w:val="24"/>
        </w:rPr>
        <w:t xml:space="preserve">borrowing is in excess of the </w:t>
      </w:r>
      <w:r w:rsidR="002D7012">
        <w:rPr>
          <w:rFonts w:cs="Arial"/>
          <w:bCs/>
          <w:szCs w:val="24"/>
        </w:rPr>
        <w:t>capital financing requirements</w:t>
      </w:r>
      <w:r w:rsidRPr="00F238E2">
        <w:rPr>
          <w:rFonts w:cs="Arial"/>
          <w:bCs/>
          <w:szCs w:val="24"/>
        </w:rPr>
        <w:t xml:space="preserve"> however, in making this comparison certain borrowing is included in the total but does not count against the </w:t>
      </w:r>
      <w:r w:rsidR="002D7012">
        <w:rPr>
          <w:rFonts w:cs="Arial"/>
          <w:bCs/>
          <w:szCs w:val="24"/>
        </w:rPr>
        <w:t>capital financing requirement</w:t>
      </w:r>
      <w:r w:rsidRPr="00F238E2">
        <w:rPr>
          <w:rFonts w:cs="Arial"/>
          <w:bCs/>
          <w:szCs w:val="24"/>
        </w:rPr>
        <w:t>. These include the shared investment scheme, premiums paid and the transferred debt.</w:t>
      </w:r>
      <w:r>
        <w:rPr>
          <w:rFonts w:cs="Arial"/>
          <w:bCs/>
          <w:szCs w:val="24"/>
        </w:rPr>
        <w:t xml:space="preserve"> Once these sums are removed, the level of borrowing is within the capital financing requirement conditions.</w:t>
      </w:r>
    </w:p>
    <w:p w:rsidR="00226DA9" w:rsidRPr="00F238E2" w:rsidRDefault="00FD7269" w:rsidP="00226DA9">
      <w:pPr>
        <w:jc w:val="both"/>
        <w:rPr>
          <w:rFonts w:cs="Arial"/>
          <w:szCs w:val="24"/>
        </w:rPr>
      </w:pPr>
    </w:p>
    <w:p w:rsidR="00226DA9" w:rsidRPr="00F238E2" w:rsidRDefault="00FC0C28" w:rsidP="00226DA9">
      <w:pPr>
        <w:spacing w:line="276" w:lineRule="auto"/>
        <w:contextualSpacing/>
        <w:rPr>
          <w:rFonts w:cs="Arial"/>
          <w:b/>
          <w:i/>
          <w:color w:val="000000"/>
          <w:szCs w:val="24"/>
        </w:rPr>
      </w:pPr>
      <w:r w:rsidRPr="00F238E2">
        <w:rPr>
          <w:rFonts w:cs="Arial"/>
          <w:b/>
          <w:i/>
          <w:color w:val="000000"/>
          <w:szCs w:val="24"/>
        </w:rPr>
        <w:t>Interest rate exposure</w:t>
      </w:r>
    </w:p>
    <w:p w:rsidR="00226DA9" w:rsidRPr="00F238E2" w:rsidRDefault="00FC0C28" w:rsidP="00226DA9">
      <w:pPr>
        <w:jc w:val="both"/>
        <w:rPr>
          <w:rFonts w:cs="Arial"/>
          <w:szCs w:val="24"/>
        </w:rPr>
      </w:pPr>
      <w:r w:rsidRPr="00F238E2">
        <w:rPr>
          <w:rFonts w:cs="Arial"/>
          <w:szCs w:val="24"/>
        </w:rPr>
        <w:t xml:space="preserve">In order to control interest rate risk the council measures its exposure to interest rate movements. These indicators place limits on the overall amount of risk the council is exposed to. The one year impact indicator calculates the theoretical impact on the </w:t>
      </w:r>
      <w:r w:rsidRPr="00F238E2">
        <w:rPr>
          <w:rFonts w:cs="Arial"/>
          <w:szCs w:val="24"/>
        </w:rPr>
        <w:lastRenderedPageBreak/>
        <w:t>revenue account of an immediate 1% rise in all interest rates over the course of one financial year.</w:t>
      </w:r>
    </w:p>
    <w:p w:rsidR="00226DA9" w:rsidRPr="00F238E2" w:rsidRDefault="00FD7269" w:rsidP="00226DA9">
      <w:pPr>
        <w:jc w:val="both"/>
        <w:rPr>
          <w:rFonts w:cs="Arial"/>
          <w:szCs w:val="24"/>
        </w:rPr>
      </w:pPr>
    </w:p>
    <w:tbl>
      <w:tblPr>
        <w:tblStyle w:val="TableGrid3"/>
        <w:tblW w:w="9094" w:type="dxa"/>
        <w:tblLook w:val="04A0" w:firstRow="1" w:lastRow="0" w:firstColumn="1" w:lastColumn="0" w:noHBand="0" w:noVBand="1"/>
      </w:tblPr>
      <w:tblGrid>
        <w:gridCol w:w="5807"/>
        <w:gridCol w:w="1418"/>
        <w:gridCol w:w="1869"/>
      </w:tblGrid>
      <w:tr w:rsidR="008B7DB0" w:rsidTr="00226DA9">
        <w:trPr>
          <w:trHeight w:val="540"/>
        </w:trPr>
        <w:tc>
          <w:tcPr>
            <w:tcW w:w="5807" w:type="dxa"/>
          </w:tcPr>
          <w:p w:rsidR="00226DA9" w:rsidRPr="00F238E2" w:rsidRDefault="00FD7269" w:rsidP="00226DA9">
            <w:pPr>
              <w:rPr>
                <w:rFonts w:cs="Arial"/>
                <w:b/>
                <w:szCs w:val="24"/>
              </w:rPr>
            </w:pPr>
          </w:p>
        </w:tc>
        <w:tc>
          <w:tcPr>
            <w:tcW w:w="1418" w:type="dxa"/>
            <w:vAlign w:val="center"/>
          </w:tcPr>
          <w:p w:rsidR="00226DA9" w:rsidRPr="00F238E2" w:rsidRDefault="00FC0C28" w:rsidP="00226DA9">
            <w:pPr>
              <w:jc w:val="right"/>
              <w:rPr>
                <w:rFonts w:cs="Arial"/>
                <w:szCs w:val="24"/>
              </w:rPr>
            </w:pPr>
            <w:r w:rsidRPr="00F238E2">
              <w:rPr>
                <w:rFonts w:cs="Arial"/>
                <w:szCs w:val="24"/>
              </w:rPr>
              <w:t>Upper Limit</w:t>
            </w:r>
          </w:p>
        </w:tc>
        <w:tc>
          <w:tcPr>
            <w:tcW w:w="1869" w:type="dxa"/>
            <w:vAlign w:val="center"/>
          </w:tcPr>
          <w:p w:rsidR="00226DA9" w:rsidRPr="00F238E2" w:rsidRDefault="00FC0C28" w:rsidP="00226DA9">
            <w:pPr>
              <w:jc w:val="right"/>
              <w:rPr>
                <w:rFonts w:cs="Arial"/>
                <w:szCs w:val="24"/>
              </w:rPr>
            </w:pPr>
            <w:r>
              <w:rPr>
                <w:rFonts w:cs="Arial"/>
                <w:szCs w:val="24"/>
              </w:rPr>
              <w:t>Actual</w:t>
            </w:r>
          </w:p>
        </w:tc>
      </w:tr>
      <w:tr w:rsidR="008B7DB0" w:rsidTr="00226DA9">
        <w:trPr>
          <w:trHeight w:val="526"/>
        </w:trPr>
        <w:tc>
          <w:tcPr>
            <w:tcW w:w="5807" w:type="dxa"/>
          </w:tcPr>
          <w:p w:rsidR="00226DA9" w:rsidRPr="00F238E2" w:rsidRDefault="00FC0C28" w:rsidP="00226DA9">
            <w:pPr>
              <w:rPr>
                <w:rFonts w:cs="Arial"/>
                <w:szCs w:val="24"/>
              </w:rPr>
            </w:pPr>
            <w:r w:rsidRPr="00F238E2">
              <w:rPr>
                <w:rFonts w:cs="Arial"/>
                <w:szCs w:val="24"/>
              </w:rPr>
              <w:t xml:space="preserve">Upper limit on one-year revenue impact of a 1% rise in interest rates </w:t>
            </w:r>
          </w:p>
        </w:tc>
        <w:tc>
          <w:tcPr>
            <w:tcW w:w="1418" w:type="dxa"/>
            <w:vAlign w:val="center"/>
          </w:tcPr>
          <w:p w:rsidR="00226DA9" w:rsidRPr="00F238E2" w:rsidRDefault="00FC0C28" w:rsidP="00226DA9">
            <w:pPr>
              <w:jc w:val="right"/>
              <w:rPr>
                <w:rFonts w:cs="Arial"/>
                <w:szCs w:val="24"/>
              </w:rPr>
            </w:pPr>
            <w:r w:rsidRPr="00F238E2">
              <w:rPr>
                <w:rFonts w:cs="Arial"/>
                <w:szCs w:val="24"/>
              </w:rPr>
              <w:t>£30m</w:t>
            </w:r>
          </w:p>
        </w:tc>
        <w:tc>
          <w:tcPr>
            <w:tcW w:w="1869" w:type="dxa"/>
            <w:vAlign w:val="center"/>
          </w:tcPr>
          <w:p w:rsidR="00226DA9" w:rsidRPr="00F238E2" w:rsidRDefault="00FC0C28" w:rsidP="00226DA9">
            <w:pPr>
              <w:jc w:val="right"/>
              <w:rPr>
                <w:rFonts w:cs="Arial"/>
                <w:szCs w:val="24"/>
              </w:rPr>
            </w:pPr>
            <w:r>
              <w:rPr>
                <w:rFonts w:cs="Arial"/>
                <w:szCs w:val="24"/>
              </w:rPr>
              <w:t>£24m</w:t>
            </w:r>
          </w:p>
        </w:tc>
      </w:tr>
    </w:tbl>
    <w:p w:rsidR="00226DA9" w:rsidRDefault="00FD7269" w:rsidP="00226DA9">
      <w:pPr>
        <w:tabs>
          <w:tab w:val="left" w:pos="3285"/>
        </w:tabs>
        <w:spacing w:line="276" w:lineRule="auto"/>
        <w:ind w:left="-108" w:firstLine="108"/>
        <w:contextualSpacing/>
        <w:rPr>
          <w:rFonts w:cs="Arial"/>
          <w:b/>
          <w:i/>
          <w:szCs w:val="24"/>
        </w:rPr>
      </w:pPr>
    </w:p>
    <w:p w:rsidR="00D45F44" w:rsidRDefault="00FD7269" w:rsidP="00226DA9">
      <w:pPr>
        <w:tabs>
          <w:tab w:val="left" w:pos="3285"/>
        </w:tabs>
        <w:spacing w:line="276" w:lineRule="auto"/>
        <w:ind w:left="-108" w:firstLine="108"/>
        <w:contextualSpacing/>
        <w:rPr>
          <w:rFonts w:cs="Arial"/>
          <w:b/>
          <w:i/>
          <w:szCs w:val="24"/>
        </w:rPr>
      </w:pPr>
    </w:p>
    <w:p w:rsidR="00226DA9" w:rsidRPr="00F238E2" w:rsidRDefault="00FC0C28" w:rsidP="00226DA9">
      <w:pPr>
        <w:tabs>
          <w:tab w:val="left" w:pos="3285"/>
        </w:tabs>
        <w:spacing w:line="276" w:lineRule="auto"/>
        <w:ind w:left="-108" w:firstLine="108"/>
        <w:contextualSpacing/>
        <w:rPr>
          <w:rFonts w:cs="Arial"/>
          <w:b/>
          <w:i/>
          <w:szCs w:val="24"/>
        </w:rPr>
      </w:pPr>
      <w:r w:rsidRPr="00F238E2">
        <w:rPr>
          <w:rFonts w:cs="Arial"/>
          <w:b/>
          <w:i/>
          <w:szCs w:val="24"/>
        </w:rPr>
        <w:t>Maturity str</w:t>
      </w:r>
      <w:bookmarkStart w:id="0" w:name="_GoBack"/>
      <w:bookmarkEnd w:id="0"/>
      <w:r w:rsidRPr="00F238E2">
        <w:rPr>
          <w:rFonts w:cs="Arial"/>
          <w:b/>
          <w:i/>
          <w:szCs w:val="24"/>
        </w:rPr>
        <w:t>ucture of debt</w:t>
      </w:r>
    </w:p>
    <w:p w:rsidR="00226DA9" w:rsidRPr="00F238E2" w:rsidRDefault="00FC0C28" w:rsidP="00226DA9">
      <w:pPr>
        <w:tabs>
          <w:tab w:val="left" w:pos="3285"/>
        </w:tabs>
        <w:spacing w:line="276" w:lineRule="auto"/>
        <w:ind w:left="-108" w:firstLine="108"/>
        <w:contextualSpacing/>
        <w:rPr>
          <w:rFonts w:cs="Arial"/>
          <w:b/>
          <w:szCs w:val="24"/>
        </w:rPr>
      </w:pPr>
      <w:r w:rsidRPr="00F238E2">
        <w:rPr>
          <w:rFonts w:cs="Arial"/>
          <w:szCs w:val="24"/>
        </w:rPr>
        <w:t>Limits on the maturity structure of debt help control refinancing risk.</w:t>
      </w:r>
    </w:p>
    <w:p w:rsidR="00226DA9" w:rsidRPr="00F238E2" w:rsidRDefault="00FD7269" w:rsidP="00226DA9">
      <w:pPr>
        <w:tabs>
          <w:tab w:val="left" w:pos="0"/>
        </w:tabs>
        <w:spacing w:line="276" w:lineRule="auto"/>
        <w:contextualSpacing/>
        <w:rPr>
          <w:rFonts w:cs="Arial"/>
          <w:b/>
          <w:color w:val="000000"/>
          <w:szCs w:val="24"/>
        </w:rPr>
      </w:pPr>
    </w:p>
    <w:tbl>
      <w:tblPr>
        <w:tblW w:w="9072" w:type="dxa"/>
        <w:tblInd w:w="-5" w:type="dxa"/>
        <w:tblLook w:val="04A0" w:firstRow="1" w:lastRow="0" w:firstColumn="1" w:lastColumn="0" w:noHBand="0" w:noVBand="1"/>
      </w:tblPr>
      <w:tblGrid>
        <w:gridCol w:w="5812"/>
        <w:gridCol w:w="1418"/>
        <w:gridCol w:w="1842"/>
      </w:tblGrid>
      <w:tr w:rsidR="008B7DB0" w:rsidTr="00226DA9">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Upper Limit</w:t>
            </w:r>
          </w:p>
        </w:tc>
        <w:tc>
          <w:tcPr>
            <w:tcW w:w="1842" w:type="dxa"/>
            <w:tcBorders>
              <w:top w:val="single" w:sz="4" w:space="0" w:color="auto"/>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Actual</w:t>
            </w:r>
          </w:p>
        </w:tc>
      </w:tr>
      <w:tr w:rsidR="008B7DB0" w:rsidTr="00226DA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Under 12 months</w:t>
            </w:r>
          </w:p>
        </w:tc>
        <w:tc>
          <w:tcPr>
            <w:tcW w:w="1418"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75%</w:t>
            </w:r>
          </w:p>
        </w:tc>
        <w:tc>
          <w:tcPr>
            <w:tcW w:w="1842" w:type="dxa"/>
            <w:tcBorders>
              <w:top w:val="nil"/>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42%</w:t>
            </w:r>
          </w:p>
        </w:tc>
      </w:tr>
      <w:tr w:rsidR="008B7DB0" w:rsidTr="00226DA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12 months and within 2 years</w:t>
            </w:r>
          </w:p>
        </w:tc>
        <w:tc>
          <w:tcPr>
            <w:tcW w:w="1418"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75%</w:t>
            </w:r>
          </w:p>
        </w:tc>
        <w:tc>
          <w:tcPr>
            <w:tcW w:w="1842" w:type="dxa"/>
            <w:tcBorders>
              <w:top w:val="nil"/>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27%</w:t>
            </w:r>
          </w:p>
        </w:tc>
      </w:tr>
      <w:tr w:rsidR="008B7DB0" w:rsidTr="00226DA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2 years and within 5 years</w:t>
            </w:r>
          </w:p>
        </w:tc>
        <w:tc>
          <w:tcPr>
            <w:tcW w:w="1418"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75%</w:t>
            </w:r>
          </w:p>
        </w:tc>
        <w:tc>
          <w:tcPr>
            <w:tcW w:w="1842" w:type="dxa"/>
            <w:tcBorders>
              <w:top w:val="nil"/>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4%</w:t>
            </w:r>
          </w:p>
        </w:tc>
      </w:tr>
      <w:tr w:rsidR="008B7DB0" w:rsidTr="00226DA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5 years and within 10 years</w:t>
            </w:r>
          </w:p>
        </w:tc>
        <w:tc>
          <w:tcPr>
            <w:tcW w:w="1418"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75%</w:t>
            </w:r>
          </w:p>
        </w:tc>
        <w:tc>
          <w:tcPr>
            <w:tcW w:w="1842" w:type="dxa"/>
            <w:tcBorders>
              <w:top w:val="nil"/>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5%</w:t>
            </w:r>
          </w:p>
        </w:tc>
      </w:tr>
      <w:tr w:rsidR="008B7DB0" w:rsidTr="00226DA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10 years and above</w:t>
            </w:r>
          </w:p>
        </w:tc>
        <w:tc>
          <w:tcPr>
            <w:tcW w:w="1418" w:type="dxa"/>
            <w:tcBorders>
              <w:top w:val="nil"/>
              <w:left w:val="nil"/>
              <w:bottom w:val="single" w:sz="4" w:space="0" w:color="auto"/>
              <w:right w:val="single" w:sz="4" w:space="0" w:color="auto"/>
            </w:tcBorders>
            <w:shd w:val="clear" w:color="auto" w:fill="auto"/>
            <w:noWrap/>
            <w:vAlign w:val="center"/>
            <w:hideMark/>
          </w:tcPr>
          <w:p w:rsidR="00226DA9" w:rsidRPr="00F238E2" w:rsidRDefault="00FC0C28" w:rsidP="00226DA9">
            <w:pPr>
              <w:jc w:val="right"/>
              <w:rPr>
                <w:rFonts w:cs="Arial"/>
                <w:color w:val="000000"/>
                <w:szCs w:val="24"/>
              </w:rPr>
            </w:pPr>
            <w:r w:rsidRPr="00F238E2">
              <w:rPr>
                <w:rFonts w:cs="Arial"/>
                <w:color w:val="000000"/>
                <w:szCs w:val="24"/>
              </w:rPr>
              <w:t>75%</w:t>
            </w:r>
          </w:p>
        </w:tc>
        <w:tc>
          <w:tcPr>
            <w:tcW w:w="1842" w:type="dxa"/>
            <w:tcBorders>
              <w:top w:val="nil"/>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21%</w:t>
            </w:r>
          </w:p>
        </w:tc>
      </w:tr>
    </w:tbl>
    <w:p w:rsidR="00226DA9" w:rsidRPr="00F238E2" w:rsidRDefault="00FD7269" w:rsidP="00226DA9">
      <w:pPr>
        <w:tabs>
          <w:tab w:val="left" w:pos="0"/>
        </w:tabs>
        <w:spacing w:line="276" w:lineRule="auto"/>
        <w:contextualSpacing/>
        <w:rPr>
          <w:rFonts w:cs="Arial"/>
          <w:b/>
          <w:color w:val="000000"/>
          <w:szCs w:val="24"/>
        </w:rPr>
      </w:pPr>
    </w:p>
    <w:p w:rsidR="00226DA9" w:rsidRPr="00F238E2" w:rsidRDefault="00FC0C28" w:rsidP="00226DA9">
      <w:pPr>
        <w:tabs>
          <w:tab w:val="left" w:pos="0"/>
        </w:tabs>
        <w:spacing w:line="276" w:lineRule="auto"/>
        <w:contextualSpacing/>
        <w:rPr>
          <w:rFonts w:cs="Arial"/>
          <w:b/>
          <w:i/>
          <w:color w:val="000000"/>
          <w:szCs w:val="24"/>
        </w:rPr>
      </w:pPr>
      <w:r w:rsidRPr="00F238E2">
        <w:rPr>
          <w:rFonts w:cs="Arial"/>
          <w:b/>
          <w:i/>
          <w:color w:val="000000"/>
          <w:szCs w:val="24"/>
        </w:rPr>
        <w:t>Investments over 1 year</w:t>
      </w:r>
    </w:p>
    <w:p w:rsidR="00226DA9" w:rsidRPr="00F238E2" w:rsidRDefault="00FC0C28" w:rsidP="00226DA9">
      <w:pPr>
        <w:tabs>
          <w:tab w:val="left" w:pos="0"/>
        </w:tabs>
        <w:jc w:val="both"/>
        <w:rPr>
          <w:rFonts w:cs="Arial"/>
          <w:color w:val="000000"/>
          <w:szCs w:val="24"/>
        </w:rPr>
      </w:pPr>
      <w:r w:rsidRPr="00F238E2">
        <w:rPr>
          <w:rFonts w:cs="Arial"/>
          <w:color w:val="000000"/>
          <w:szCs w:val="24"/>
        </w:rPr>
        <w:t>Limit on the level of long</w:t>
      </w:r>
      <w:r>
        <w:rPr>
          <w:rFonts w:cs="Arial"/>
          <w:color w:val="000000"/>
          <w:szCs w:val="24"/>
        </w:rPr>
        <w:t>-</w:t>
      </w:r>
      <w:r w:rsidRPr="00F238E2">
        <w:rPr>
          <w:rFonts w:cs="Arial"/>
          <w:color w:val="000000"/>
          <w:szCs w:val="24"/>
        </w:rPr>
        <w:t>term investments helps to control liquidity, although the majority of these investments are currently held in securities</w:t>
      </w:r>
      <w:r>
        <w:rPr>
          <w:rFonts w:cs="Arial"/>
          <w:color w:val="000000"/>
          <w:szCs w:val="24"/>
        </w:rPr>
        <w:t xml:space="preserve"> </w:t>
      </w:r>
      <w:r w:rsidRPr="00F238E2">
        <w:rPr>
          <w:rFonts w:cs="Arial"/>
          <w:color w:val="000000"/>
          <w:szCs w:val="24"/>
        </w:rPr>
        <w:t xml:space="preserve">which </w:t>
      </w:r>
      <w:r>
        <w:rPr>
          <w:rFonts w:cs="Arial"/>
          <w:color w:val="000000"/>
          <w:szCs w:val="24"/>
        </w:rPr>
        <w:t>may be</w:t>
      </w:r>
      <w:r w:rsidRPr="00F238E2">
        <w:rPr>
          <w:rFonts w:cs="Arial"/>
          <w:color w:val="000000"/>
          <w:szCs w:val="24"/>
        </w:rPr>
        <w:t xml:space="preserve"> readily s</w:t>
      </w:r>
      <w:r>
        <w:rPr>
          <w:rFonts w:cs="Arial"/>
          <w:color w:val="000000"/>
          <w:szCs w:val="24"/>
        </w:rPr>
        <w:t>old</w:t>
      </w:r>
      <w:r w:rsidRPr="00F238E2">
        <w:rPr>
          <w:rFonts w:cs="Arial"/>
          <w:color w:val="000000"/>
          <w:szCs w:val="24"/>
        </w:rPr>
        <w:t>. The limit is largely determined by the forecast of reserves and balances held at the year-end.</w:t>
      </w:r>
    </w:p>
    <w:p w:rsidR="00226DA9" w:rsidRPr="00F238E2" w:rsidRDefault="00FD7269" w:rsidP="00226DA9">
      <w:pPr>
        <w:tabs>
          <w:tab w:val="left" w:pos="0"/>
        </w:tabs>
        <w:jc w:val="both"/>
        <w:rPr>
          <w:rFonts w:cs="Arial"/>
          <w:color w:val="000000"/>
          <w:szCs w:val="24"/>
        </w:rPr>
      </w:pPr>
    </w:p>
    <w:tbl>
      <w:tblPr>
        <w:tblStyle w:val="TableGrid3"/>
        <w:tblW w:w="9067" w:type="dxa"/>
        <w:tblLook w:val="04A0" w:firstRow="1" w:lastRow="0" w:firstColumn="1" w:lastColumn="0" w:noHBand="0" w:noVBand="1"/>
      </w:tblPr>
      <w:tblGrid>
        <w:gridCol w:w="5799"/>
        <w:gridCol w:w="1556"/>
        <w:gridCol w:w="1712"/>
      </w:tblGrid>
      <w:tr w:rsidR="008B7DB0" w:rsidTr="00226DA9">
        <w:trPr>
          <w:trHeight w:val="281"/>
        </w:trPr>
        <w:tc>
          <w:tcPr>
            <w:tcW w:w="5799" w:type="dxa"/>
            <w:noWrap/>
            <w:hideMark/>
          </w:tcPr>
          <w:p w:rsidR="00226DA9" w:rsidRPr="00F238E2" w:rsidRDefault="00FC0C28" w:rsidP="00226DA9">
            <w:pPr>
              <w:rPr>
                <w:rFonts w:cs="Arial"/>
                <w:color w:val="000000"/>
                <w:szCs w:val="24"/>
              </w:rPr>
            </w:pPr>
            <w:r w:rsidRPr="00F238E2">
              <w:rPr>
                <w:rFonts w:cs="Arial"/>
                <w:color w:val="000000"/>
                <w:szCs w:val="24"/>
              </w:rPr>
              <w:t> </w:t>
            </w:r>
          </w:p>
        </w:tc>
        <w:tc>
          <w:tcPr>
            <w:tcW w:w="1556" w:type="dxa"/>
            <w:noWrap/>
            <w:vAlign w:val="center"/>
            <w:hideMark/>
          </w:tcPr>
          <w:p w:rsidR="00226DA9" w:rsidRPr="00F238E2" w:rsidRDefault="00FC0C28" w:rsidP="00226DA9">
            <w:pPr>
              <w:jc w:val="right"/>
              <w:rPr>
                <w:rFonts w:cs="Arial"/>
                <w:color w:val="000000"/>
                <w:szCs w:val="24"/>
              </w:rPr>
            </w:pPr>
            <w:r w:rsidRPr="00F238E2">
              <w:rPr>
                <w:rFonts w:cs="Arial"/>
                <w:color w:val="000000"/>
                <w:szCs w:val="24"/>
              </w:rPr>
              <w:t>Upper limit</w:t>
            </w:r>
          </w:p>
        </w:tc>
        <w:tc>
          <w:tcPr>
            <w:tcW w:w="1712" w:type="dxa"/>
          </w:tcPr>
          <w:p w:rsidR="00226DA9" w:rsidRPr="00F238E2" w:rsidRDefault="00FC0C28" w:rsidP="00226DA9">
            <w:pPr>
              <w:jc w:val="right"/>
              <w:rPr>
                <w:rFonts w:cs="Arial"/>
                <w:color w:val="000000"/>
                <w:szCs w:val="24"/>
              </w:rPr>
            </w:pPr>
            <w:r>
              <w:rPr>
                <w:rFonts w:cs="Arial"/>
                <w:color w:val="000000"/>
                <w:szCs w:val="24"/>
              </w:rPr>
              <w:t>Actual</w:t>
            </w:r>
          </w:p>
        </w:tc>
      </w:tr>
      <w:tr w:rsidR="008B7DB0" w:rsidTr="00226DA9">
        <w:trPr>
          <w:trHeight w:val="281"/>
        </w:trPr>
        <w:tc>
          <w:tcPr>
            <w:tcW w:w="5799" w:type="dxa"/>
            <w:noWrap/>
            <w:hideMark/>
          </w:tcPr>
          <w:p w:rsidR="00226DA9" w:rsidRPr="00F238E2" w:rsidRDefault="00FC0C28" w:rsidP="00226DA9">
            <w:pPr>
              <w:rPr>
                <w:rFonts w:cs="Arial"/>
                <w:color w:val="000000"/>
                <w:szCs w:val="24"/>
              </w:rPr>
            </w:pPr>
            <w:r w:rsidRPr="00F238E2">
              <w:rPr>
                <w:rFonts w:cs="Arial"/>
                <w:color w:val="000000"/>
                <w:szCs w:val="24"/>
              </w:rPr>
              <w:t>Total invested over 1 year</w:t>
            </w:r>
          </w:p>
        </w:tc>
        <w:tc>
          <w:tcPr>
            <w:tcW w:w="1556" w:type="dxa"/>
            <w:noWrap/>
            <w:hideMark/>
          </w:tcPr>
          <w:p w:rsidR="00226DA9" w:rsidRPr="00F238E2" w:rsidRDefault="00FC0C28" w:rsidP="00226DA9">
            <w:pPr>
              <w:jc w:val="right"/>
              <w:rPr>
                <w:rFonts w:cs="Arial"/>
                <w:color w:val="000000"/>
                <w:szCs w:val="24"/>
              </w:rPr>
            </w:pPr>
            <w:r w:rsidRPr="00F238E2">
              <w:rPr>
                <w:rFonts w:cs="Arial"/>
                <w:color w:val="000000"/>
                <w:szCs w:val="24"/>
              </w:rPr>
              <w:t>£475m</w:t>
            </w:r>
          </w:p>
        </w:tc>
        <w:tc>
          <w:tcPr>
            <w:tcW w:w="1712" w:type="dxa"/>
          </w:tcPr>
          <w:p w:rsidR="00226DA9" w:rsidRPr="00F238E2" w:rsidRDefault="00FC0C28" w:rsidP="00226DA9">
            <w:pPr>
              <w:jc w:val="right"/>
              <w:rPr>
                <w:rFonts w:cs="Arial"/>
                <w:color w:val="000000"/>
                <w:szCs w:val="24"/>
              </w:rPr>
            </w:pPr>
            <w:r>
              <w:rPr>
                <w:rFonts w:cs="Arial"/>
                <w:color w:val="000000"/>
                <w:szCs w:val="24"/>
              </w:rPr>
              <w:t>£447m</w:t>
            </w:r>
          </w:p>
        </w:tc>
      </w:tr>
      <w:tr w:rsidR="008B7DB0" w:rsidTr="00226DA9">
        <w:trPr>
          <w:trHeight w:val="281"/>
        </w:trPr>
        <w:tc>
          <w:tcPr>
            <w:tcW w:w="5799" w:type="dxa"/>
            <w:noWrap/>
          </w:tcPr>
          <w:p w:rsidR="00226DA9" w:rsidRPr="00F238E2" w:rsidRDefault="00FC0C28" w:rsidP="00226DA9">
            <w:pPr>
              <w:rPr>
                <w:rFonts w:cs="Arial"/>
                <w:color w:val="000000"/>
                <w:szCs w:val="24"/>
              </w:rPr>
            </w:pPr>
            <w:r w:rsidRPr="00F238E2">
              <w:rPr>
                <w:rFonts w:cs="Arial"/>
                <w:color w:val="000000"/>
                <w:szCs w:val="24"/>
              </w:rPr>
              <w:t>Operational</w:t>
            </w:r>
            <w:r>
              <w:rPr>
                <w:rFonts w:cs="Arial"/>
                <w:color w:val="000000"/>
                <w:szCs w:val="24"/>
              </w:rPr>
              <w:t>/</w:t>
            </w:r>
            <w:r w:rsidRPr="00F238E2">
              <w:rPr>
                <w:rFonts w:cs="Arial"/>
                <w:color w:val="000000"/>
                <w:szCs w:val="24"/>
              </w:rPr>
              <w:t>forecast limit at 31 March 2020</w:t>
            </w:r>
          </w:p>
        </w:tc>
        <w:tc>
          <w:tcPr>
            <w:tcW w:w="1556" w:type="dxa"/>
            <w:noWrap/>
          </w:tcPr>
          <w:p w:rsidR="00226DA9" w:rsidRPr="00F238E2" w:rsidRDefault="00FC0C28" w:rsidP="00226DA9">
            <w:pPr>
              <w:jc w:val="right"/>
              <w:rPr>
                <w:rFonts w:cs="Arial"/>
                <w:color w:val="000000"/>
                <w:szCs w:val="24"/>
              </w:rPr>
            </w:pPr>
            <w:r w:rsidRPr="00F238E2">
              <w:rPr>
                <w:rFonts w:cs="Arial"/>
                <w:color w:val="000000"/>
                <w:szCs w:val="24"/>
              </w:rPr>
              <w:t>£375m</w:t>
            </w:r>
          </w:p>
        </w:tc>
        <w:tc>
          <w:tcPr>
            <w:tcW w:w="1712" w:type="dxa"/>
          </w:tcPr>
          <w:p w:rsidR="00226DA9" w:rsidRPr="00F238E2" w:rsidRDefault="00FC0C28" w:rsidP="00226DA9">
            <w:pPr>
              <w:jc w:val="right"/>
              <w:rPr>
                <w:rFonts w:cs="Arial"/>
                <w:color w:val="000000"/>
                <w:szCs w:val="24"/>
              </w:rPr>
            </w:pPr>
            <w:r>
              <w:rPr>
                <w:rFonts w:cs="Arial"/>
                <w:color w:val="000000"/>
                <w:szCs w:val="24"/>
              </w:rPr>
              <w:t>£447m</w:t>
            </w:r>
          </w:p>
        </w:tc>
      </w:tr>
    </w:tbl>
    <w:p w:rsidR="00226DA9" w:rsidRDefault="00FD7269" w:rsidP="00226DA9">
      <w:pPr>
        <w:rPr>
          <w:rFonts w:cs="Arial"/>
          <w:color w:val="000000"/>
          <w:szCs w:val="24"/>
        </w:rPr>
      </w:pPr>
    </w:p>
    <w:p w:rsidR="00226DA9" w:rsidRDefault="00FC0C28" w:rsidP="00826434">
      <w:pPr>
        <w:jc w:val="both"/>
        <w:rPr>
          <w:rFonts w:cs="Arial"/>
          <w:color w:val="000000"/>
          <w:szCs w:val="24"/>
        </w:rPr>
      </w:pPr>
      <w:r>
        <w:rPr>
          <w:rFonts w:cs="Arial"/>
          <w:color w:val="000000"/>
          <w:szCs w:val="24"/>
        </w:rPr>
        <w:t xml:space="preserve">The indicator excludes investments undertaken as part of the trading portfolio as they are not part of the in- year liquidity requirements. </w:t>
      </w:r>
    </w:p>
    <w:p w:rsidR="00226DA9" w:rsidRPr="00F238E2" w:rsidRDefault="00FD7269" w:rsidP="00226DA9">
      <w:pPr>
        <w:rPr>
          <w:rFonts w:cs="Arial"/>
          <w:color w:val="000000"/>
          <w:szCs w:val="24"/>
        </w:rPr>
      </w:pPr>
    </w:p>
    <w:p w:rsidR="00226DA9" w:rsidRPr="00F238E2" w:rsidRDefault="00FC0C28" w:rsidP="00226DA9">
      <w:pPr>
        <w:rPr>
          <w:rFonts w:cs="Arial"/>
          <w:b/>
          <w:i/>
          <w:color w:val="000000"/>
          <w:szCs w:val="24"/>
        </w:rPr>
      </w:pPr>
      <w:r w:rsidRPr="00F238E2">
        <w:rPr>
          <w:rFonts w:cs="Arial"/>
          <w:b/>
          <w:i/>
          <w:color w:val="000000"/>
          <w:szCs w:val="24"/>
        </w:rPr>
        <w:t>Minimum Average Credit Rating</w:t>
      </w:r>
    </w:p>
    <w:p w:rsidR="00226DA9" w:rsidRPr="00F238E2" w:rsidRDefault="00FC0C28" w:rsidP="00226DA9">
      <w:pPr>
        <w:jc w:val="both"/>
        <w:rPr>
          <w:rFonts w:cs="Arial"/>
          <w:szCs w:val="24"/>
        </w:rPr>
      </w:pPr>
      <w:r w:rsidRPr="00F238E2">
        <w:rPr>
          <w:rFonts w:cs="Arial"/>
          <w:szCs w:val="24"/>
        </w:rPr>
        <w:t>To control credit risk the council requires a very high credit rating from its treasury counterparties.</w:t>
      </w:r>
    </w:p>
    <w:p w:rsidR="00226DA9" w:rsidRPr="00F238E2" w:rsidRDefault="00FD7269" w:rsidP="00226DA9">
      <w:pPr>
        <w:jc w:val="both"/>
        <w:rPr>
          <w:rFonts w:cs="Arial"/>
          <w:szCs w:val="24"/>
        </w:rPr>
      </w:pPr>
    </w:p>
    <w:tbl>
      <w:tblPr>
        <w:tblW w:w="9072" w:type="dxa"/>
        <w:tblInd w:w="-5" w:type="dxa"/>
        <w:tblLook w:val="04A0" w:firstRow="1" w:lastRow="0" w:firstColumn="1" w:lastColumn="0" w:noHBand="0" w:noVBand="1"/>
      </w:tblPr>
      <w:tblGrid>
        <w:gridCol w:w="5812"/>
        <w:gridCol w:w="1559"/>
        <w:gridCol w:w="1701"/>
      </w:tblGrid>
      <w:tr w:rsidR="008B7DB0" w:rsidTr="00226DA9">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DA9" w:rsidRPr="00F238E2" w:rsidRDefault="00FD7269" w:rsidP="00226DA9">
            <w:pPr>
              <w:jc w:val="center"/>
              <w:rPr>
                <w:rFonts w:cs="Arial"/>
                <w:color w:val="00000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26DA9" w:rsidRPr="00F238E2" w:rsidRDefault="00FC0C28" w:rsidP="00226DA9">
            <w:pPr>
              <w:jc w:val="right"/>
              <w:rPr>
                <w:rFonts w:cs="Arial"/>
                <w:color w:val="000000"/>
                <w:szCs w:val="24"/>
              </w:rPr>
            </w:pPr>
            <w:r w:rsidRPr="00F238E2">
              <w:rPr>
                <w:rFonts w:cs="Arial"/>
                <w:color w:val="000000"/>
                <w:szCs w:val="24"/>
              </w:rPr>
              <w:t>Benchmark</w:t>
            </w:r>
          </w:p>
        </w:tc>
        <w:tc>
          <w:tcPr>
            <w:tcW w:w="1701" w:type="dxa"/>
            <w:tcBorders>
              <w:top w:val="single" w:sz="4" w:space="0" w:color="auto"/>
              <w:left w:val="nil"/>
              <w:bottom w:val="single" w:sz="4" w:space="0" w:color="auto"/>
              <w:right w:val="single" w:sz="4" w:space="0" w:color="auto"/>
            </w:tcBorders>
            <w:vAlign w:val="center"/>
          </w:tcPr>
          <w:p w:rsidR="00226DA9" w:rsidRPr="00F238E2" w:rsidRDefault="00FC0C28" w:rsidP="00226DA9">
            <w:pPr>
              <w:jc w:val="right"/>
              <w:rPr>
                <w:rFonts w:cs="Arial"/>
                <w:color w:val="000000"/>
                <w:szCs w:val="24"/>
              </w:rPr>
            </w:pPr>
            <w:r>
              <w:rPr>
                <w:rFonts w:cs="Arial"/>
                <w:color w:val="000000"/>
                <w:szCs w:val="24"/>
              </w:rPr>
              <w:t>Actual</w:t>
            </w:r>
          </w:p>
        </w:tc>
      </w:tr>
      <w:tr w:rsidR="008B7DB0" w:rsidTr="00226DA9">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226DA9" w:rsidRPr="00F238E2" w:rsidRDefault="00FC0C28" w:rsidP="00226DA9">
            <w:pPr>
              <w:rPr>
                <w:rFonts w:cs="Arial"/>
                <w:color w:val="000000"/>
                <w:szCs w:val="24"/>
              </w:rPr>
            </w:pPr>
            <w:r w:rsidRPr="00F238E2">
              <w:rPr>
                <w:rFonts w:cs="Arial"/>
                <w:color w:val="000000"/>
                <w:szCs w:val="24"/>
              </w:rPr>
              <w:t>Average counterparty credit rating</w:t>
            </w:r>
          </w:p>
        </w:tc>
        <w:tc>
          <w:tcPr>
            <w:tcW w:w="1559" w:type="dxa"/>
            <w:tcBorders>
              <w:top w:val="nil"/>
              <w:left w:val="nil"/>
              <w:bottom w:val="single" w:sz="4" w:space="0" w:color="auto"/>
              <w:right w:val="single" w:sz="4" w:space="0" w:color="auto"/>
            </w:tcBorders>
            <w:shd w:val="clear" w:color="auto" w:fill="auto"/>
            <w:noWrap/>
            <w:vAlign w:val="bottom"/>
          </w:tcPr>
          <w:p w:rsidR="00226DA9" w:rsidRPr="00F238E2" w:rsidRDefault="00FC0C28" w:rsidP="00226DA9">
            <w:pPr>
              <w:jc w:val="right"/>
              <w:rPr>
                <w:rFonts w:cs="Arial"/>
                <w:color w:val="000000"/>
                <w:szCs w:val="24"/>
              </w:rPr>
            </w:pPr>
            <w:r w:rsidRPr="00F238E2">
              <w:rPr>
                <w:rFonts w:cs="Arial"/>
                <w:color w:val="000000"/>
                <w:szCs w:val="24"/>
              </w:rPr>
              <w:t>A</w:t>
            </w:r>
          </w:p>
        </w:tc>
        <w:tc>
          <w:tcPr>
            <w:tcW w:w="1701" w:type="dxa"/>
            <w:tcBorders>
              <w:top w:val="nil"/>
              <w:left w:val="nil"/>
              <w:bottom w:val="single" w:sz="4" w:space="0" w:color="auto"/>
              <w:right w:val="single" w:sz="4" w:space="0" w:color="auto"/>
            </w:tcBorders>
          </w:tcPr>
          <w:p w:rsidR="00226DA9" w:rsidRPr="00F238E2" w:rsidRDefault="00FC0C28" w:rsidP="00226DA9">
            <w:pPr>
              <w:jc w:val="right"/>
              <w:rPr>
                <w:rFonts w:cs="Arial"/>
                <w:color w:val="000000"/>
                <w:szCs w:val="24"/>
              </w:rPr>
            </w:pPr>
            <w:r>
              <w:rPr>
                <w:rFonts w:cs="Arial"/>
                <w:color w:val="000000"/>
                <w:szCs w:val="24"/>
              </w:rPr>
              <w:t>AA</w:t>
            </w:r>
          </w:p>
        </w:tc>
      </w:tr>
    </w:tbl>
    <w:p w:rsidR="00226DA9" w:rsidRDefault="00FD7269" w:rsidP="00226DA9">
      <w:pPr>
        <w:pStyle w:val="ListParagraph"/>
        <w:ind w:left="0"/>
        <w:jc w:val="both"/>
        <w:rPr>
          <w:rFonts w:cs="Arial"/>
          <w:b/>
          <w:szCs w:val="24"/>
          <w:highlight w:val="green"/>
        </w:rPr>
      </w:pPr>
    </w:p>
    <w:p w:rsidR="00226DA9" w:rsidRPr="0098171A" w:rsidRDefault="00FD7269" w:rsidP="00226DA9">
      <w:pPr>
        <w:pStyle w:val="ListParagraph"/>
        <w:ind w:left="0"/>
        <w:jc w:val="both"/>
        <w:rPr>
          <w:rFonts w:cs="Arial"/>
          <w:b/>
          <w:szCs w:val="24"/>
          <w:highlight w:val="green"/>
        </w:rPr>
      </w:pPr>
    </w:p>
    <w:sectPr w:rsidR="00226DA9" w:rsidRPr="0098171A" w:rsidSect="00226DA9">
      <w:headerReference w:type="default" r:id="rId10"/>
      <w:footerReference w:type="default" r:id="rId11"/>
      <w:footerReference w:type="first" r:id="rId12"/>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AF" w:rsidRDefault="00FC0C28">
      <w:r>
        <w:separator/>
      </w:r>
    </w:p>
  </w:endnote>
  <w:endnote w:type="continuationSeparator" w:id="0">
    <w:p w:rsidR="00340CAF" w:rsidRDefault="00FC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A9" w:rsidRDefault="00FD7269">
    <w:pPr>
      <w:pStyle w:val="Footer"/>
      <w:tabs>
        <w:tab w:val="clear" w:pos="4153"/>
      </w:tabs>
      <w:ind w:right="-4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A9" w:rsidRDefault="00FD7269">
    <w:pPr>
      <w:pStyle w:val="Footer"/>
      <w:tabs>
        <w:tab w:val="clear" w:pos="4153"/>
      </w:tabs>
      <w:ind w:right="-4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AF" w:rsidRDefault="00FC0C28">
      <w:r>
        <w:separator/>
      </w:r>
    </w:p>
  </w:footnote>
  <w:footnote w:type="continuationSeparator" w:id="0">
    <w:p w:rsidR="00340CAF" w:rsidRDefault="00FC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A9" w:rsidRDefault="00FD7269">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F7A"/>
    <w:multiLevelType w:val="hybridMultilevel"/>
    <w:tmpl w:val="81E26108"/>
    <w:lvl w:ilvl="0" w:tplc="A6B02F4C">
      <w:start w:val="1"/>
      <w:numFmt w:val="bullet"/>
      <w:lvlText w:val=""/>
      <w:lvlJc w:val="left"/>
      <w:pPr>
        <w:ind w:left="1485" w:hanging="360"/>
      </w:pPr>
      <w:rPr>
        <w:rFonts w:ascii="Symbol" w:hAnsi="Symbol" w:hint="default"/>
      </w:rPr>
    </w:lvl>
    <w:lvl w:ilvl="1" w:tplc="C074B0E8" w:tentative="1">
      <w:start w:val="1"/>
      <w:numFmt w:val="bullet"/>
      <w:lvlText w:val="o"/>
      <w:lvlJc w:val="left"/>
      <w:pPr>
        <w:ind w:left="2205" w:hanging="360"/>
      </w:pPr>
      <w:rPr>
        <w:rFonts w:ascii="Courier New" w:hAnsi="Courier New" w:hint="default"/>
      </w:rPr>
    </w:lvl>
    <w:lvl w:ilvl="2" w:tplc="42D8B8EA" w:tentative="1">
      <w:start w:val="1"/>
      <w:numFmt w:val="bullet"/>
      <w:lvlText w:val=""/>
      <w:lvlJc w:val="left"/>
      <w:pPr>
        <w:ind w:left="2925" w:hanging="360"/>
      </w:pPr>
      <w:rPr>
        <w:rFonts w:ascii="Wingdings" w:hAnsi="Wingdings" w:hint="default"/>
      </w:rPr>
    </w:lvl>
    <w:lvl w:ilvl="3" w:tplc="72C0A608" w:tentative="1">
      <w:start w:val="1"/>
      <w:numFmt w:val="bullet"/>
      <w:lvlText w:val=""/>
      <w:lvlJc w:val="left"/>
      <w:pPr>
        <w:ind w:left="3645" w:hanging="360"/>
      </w:pPr>
      <w:rPr>
        <w:rFonts w:ascii="Symbol" w:hAnsi="Symbol" w:hint="default"/>
      </w:rPr>
    </w:lvl>
    <w:lvl w:ilvl="4" w:tplc="19D4639A" w:tentative="1">
      <w:start w:val="1"/>
      <w:numFmt w:val="bullet"/>
      <w:lvlText w:val="o"/>
      <w:lvlJc w:val="left"/>
      <w:pPr>
        <w:ind w:left="4365" w:hanging="360"/>
      </w:pPr>
      <w:rPr>
        <w:rFonts w:ascii="Courier New" w:hAnsi="Courier New" w:hint="default"/>
      </w:rPr>
    </w:lvl>
    <w:lvl w:ilvl="5" w:tplc="8D603E22" w:tentative="1">
      <w:start w:val="1"/>
      <w:numFmt w:val="bullet"/>
      <w:lvlText w:val=""/>
      <w:lvlJc w:val="left"/>
      <w:pPr>
        <w:ind w:left="5085" w:hanging="360"/>
      </w:pPr>
      <w:rPr>
        <w:rFonts w:ascii="Wingdings" w:hAnsi="Wingdings" w:hint="default"/>
      </w:rPr>
    </w:lvl>
    <w:lvl w:ilvl="6" w:tplc="EDCEA9B4" w:tentative="1">
      <w:start w:val="1"/>
      <w:numFmt w:val="bullet"/>
      <w:lvlText w:val=""/>
      <w:lvlJc w:val="left"/>
      <w:pPr>
        <w:ind w:left="5805" w:hanging="360"/>
      </w:pPr>
      <w:rPr>
        <w:rFonts w:ascii="Symbol" w:hAnsi="Symbol" w:hint="default"/>
      </w:rPr>
    </w:lvl>
    <w:lvl w:ilvl="7" w:tplc="D59C3F28" w:tentative="1">
      <w:start w:val="1"/>
      <w:numFmt w:val="bullet"/>
      <w:lvlText w:val="o"/>
      <w:lvlJc w:val="left"/>
      <w:pPr>
        <w:ind w:left="6525" w:hanging="360"/>
      </w:pPr>
      <w:rPr>
        <w:rFonts w:ascii="Courier New" w:hAnsi="Courier New" w:hint="default"/>
      </w:rPr>
    </w:lvl>
    <w:lvl w:ilvl="8" w:tplc="316A1E52"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D99A9E8E">
      <w:start w:val="1"/>
      <w:numFmt w:val="bullet"/>
      <w:lvlText w:val=""/>
      <w:lvlJc w:val="left"/>
      <w:pPr>
        <w:ind w:left="720" w:hanging="360"/>
      </w:pPr>
      <w:rPr>
        <w:rFonts w:ascii="Symbol" w:hAnsi="Symbol" w:hint="default"/>
      </w:rPr>
    </w:lvl>
    <w:lvl w:ilvl="1" w:tplc="1EB09DEA">
      <w:start w:val="1"/>
      <w:numFmt w:val="bullet"/>
      <w:lvlText w:val="o"/>
      <w:lvlJc w:val="left"/>
      <w:pPr>
        <w:ind w:left="1440" w:hanging="360"/>
      </w:pPr>
      <w:rPr>
        <w:rFonts w:ascii="Courier New" w:hAnsi="Courier New" w:hint="default"/>
      </w:rPr>
    </w:lvl>
    <w:lvl w:ilvl="2" w:tplc="A71C7BFC" w:tentative="1">
      <w:start w:val="1"/>
      <w:numFmt w:val="bullet"/>
      <w:lvlText w:val=""/>
      <w:lvlJc w:val="left"/>
      <w:pPr>
        <w:ind w:left="2160" w:hanging="360"/>
      </w:pPr>
      <w:rPr>
        <w:rFonts w:ascii="Wingdings" w:hAnsi="Wingdings" w:hint="default"/>
      </w:rPr>
    </w:lvl>
    <w:lvl w:ilvl="3" w:tplc="0E2E3F48" w:tentative="1">
      <w:start w:val="1"/>
      <w:numFmt w:val="bullet"/>
      <w:lvlText w:val=""/>
      <w:lvlJc w:val="left"/>
      <w:pPr>
        <w:ind w:left="2880" w:hanging="360"/>
      </w:pPr>
      <w:rPr>
        <w:rFonts w:ascii="Symbol" w:hAnsi="Symbol" w:hint="default"/>
      </w:rPr>
    </w:lvl>
    <w:lvl w:ilvl="4" w:tplc="1CF6843C" w:tentative="1">
      <w:start w:val="1"/>
      <w:numFmt w:val="bullet"/>
      <w:lvlText w:val="o"/>
      <w:lvlJc w:val="left"/>
      <w:pPr>
        <w:ind w:left="3600" w:hanging="360"/>
      </w:pPr>
      <w:rPr>
        <w:rFonts w:ascii="Courier New" w:hAnsi="Courier New" w:hint="default"/>
      </w:rPr>
    </w:lvl>
    <w:lvl w:ilvl="5" w:tplc="7D64034A" w:tentative="1">
      <w:start w:val="1"/>
      <w:numFmt w:val="bullet"/>
      <w:lvlText w:val=""/>
      <w:lvlJc w:val="left"/>
      <w:pPr>
        <w:ind w:left="4320" w:hanging="360"/>
      </w:pPr>
      <w:rPr>
        <w:rFonts w:ascii="Wingdings" w:hAnsi="Wingdings" w:hint="default"/>
      </w:rPr>
    </w:lvl>
    <w:lvl w:ilvl="6" w:tplc="9A6ED47C" w:tentative="1">
      <w:start w:val="1"/>
      <w:numFmt w:val="bullet"/>
      <w:lvlText w:val=""/>
      <w:lvlJc w:val="left"/>
      <w:pPr>
        <w:ind w:left="5040" w:hanging="360"/>
      </w:pPr>
      <w:rPr>
        <w:rFonts w:ascii="Symbol" w:hAnsi="Symbol" w:hint="default"/>
      </w:rPr>
    </w:lvl>
    <w:lvl w:ilvl="7" w:tplc="5A2A8E60" w:tentative="1">
      <w:start w:val="1"/>
      <w:numFmt w:val="bullet"/>
      <w:lvlText w:val="o"/>
      <w:lvlJc w:val="left"/>
      <w:pPr>
        <w:ind w:left="5760" w:hanging="360"/>
      </w:pPr>
      <w:rPr>
        <w:rFonts w:ascii="Courier New" w:hAnsi="Courier New" w:hint="default"/>
      </w:rPr>
    </w:lvl>
    <w:lvl w:ilvl="8" w:tplc="5B72BBB6"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A330ED96">
      <w:start w:val="1"/>
      <w:numFmt w:val="decimal"/>
      <w:lvlText w:val="%1."/>
      <w:lvlJc w:val="left"/>
      <w:pPr>
        <w:ind w:left="720" w:hanging="360"/>
      </w:pPr>
      <w:rPr>
        <w:rFonts w:cs="Times New Roman" w:hint="default"/>
      </w:rPr>
    </w:lvl>
    <w:lvl w:ilvl="1" w:tplc="53427296" w:tentative="1">
      <w:start w:val="1"/>
      <w:numFmt w:val="lowerLetter"/>
      <w:lvlText w:val="%2."/>
      <w:lvlJc w:val="left"/>
      <w:pPr>
        <w:ind w:left="1440" w:hanging="360"/>
      </w:pPr>
      <w:rPr>
        <w:rFonts w:cs="Times New Roman"/>
      </w:rPr>
    </w:lvl>
    <w:lvl w:ilvl="2" w:tplc="6FCC4676" w:tentative="1">
      <w:start w:val="1"/>
      <w:numFmt w:val="lowerRoman"/>
      <w:lvlText w:val="%3."/>
      <w:lvlJc w:val="right"/>
      <w:pPr>
        <w:ind w:left="2160" w:hanging="180"/>
      </w:pPr>
      <w:rPr>
        <w:rFonts w:cs="Times New Roman"/>
      </w:rPr>
    </w:lvl>
    <w:lvl w:ilvl="3" w:tplc="A448DB1A" w:tentative="1">
      <w:start w:val="1"/>
      <w:numFmt w:val="decimal"/>
      <w:lvlText w:val="%4."/>
      <w:lvlJc w:val="left"/>
      <w:pPr>
        <w:ind w:left="2880" w:hanging="360"/>
      </w:pPr>
      <w:rPr>
        <w:rFonts w:cs="Times New Roman"/>
      </w:rPr>
    </w:lvl>
    <w:lvl w:ilvl="4" w:tplc="2FA4F32C" w:tentative="1">
      <w:start w:val="1"/>
      <w:numFmt w:val="lowerLetter"/>
      <w:lvlText w:val="%5."/>
      <w:lvlJc w:val="left"/>
      <w:pPr>
        <w:ind w:left="3600" w:hanging="360"/>
      </w:pPr>
      <w:rPr>
        <w:rFonts w:cs="Times New Roman"/>
      </w:rPr>
    </w:lvl>
    <w:lvl w:ilvl="5" w:tplc="95AC706A" w:tentative="1">
      <w:start w:val="1"/>
      <w:numFmt w:val="lowerRoman"/>
      <w:lvlText w:val="%6."/>
      <w:lvlJc w:val="right"/>
      <w:pPr>
        <w:ind w:left="4320" w:hanging="180"/>
      </w:pPr>
      <w:rPr>
        <w:rFonts w:cs="Times New Roman"/>
      </w:rPr>
    </w:lvl>
    <w:lvl w:ilvl="6" w:tplc="FFB43BAC" w:tentative="1">
      <w:start w:val="1"/>
      <w:numFmt w:val="decimal"/>
      <w:lvlText w:val="%7."/>
      <w:lvlJc w:val="left"/>
      <w:pPr>
        <w:ind w:left="5040" w:hanging="360"/>
      </w:pPr>
      <w:rPr>
        <w:rFonts w:cs="Times New Roman"/>
      </w:rPr>
    </w:lvl>
    <w:lvl w:ilvl="7" w:tplc="C4046732" w:tentative="1">
      <w:start w:val="1"/>
      <w:numFmt w:val="lowerLetter"/>
      <w:lvlText w:val="%8."/>
      <w:lvlJc w:val="left"/>
      <w:pPr>
        <w:ind w:left="5760" w:hanging="360"/>
      </w:pPr>
      <w:rPr>
        <w:rFonts w:cs="Times New Roman"/>
      </w:rPr>
    </w:lvl>
    <w:lvl w:ilvl="8" w:tplc="72246750"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8F8EE032">
      <w:start w:val="1"/>
      <w:numFmt w:val="decimal"/>
      <w:lvlText w:val="%1."/>
      <w:lvlJc w:val="left"/>
      <w:pPr>
        <w:ind w:left="360" w:hanging="360"/>
      </w:pPr>
      <w:rPr>
        <w:rFonts w:cs="Times New Roman"/>
        <w:b/>
      </w:rPr>
    </w:lvl>
    <w:lvl w:ilvl="1" w:tplc="7CA8CFAA" w:tentative="1">
      <w:start w:val="1"/>
      <w:numFmt w:val="lowerLetter"/>
      <w:lvlText w:val="%2."/>
      <w:lvlJc w:val="left"/>
      <w:pPr>
        <w:ind w:left="1080" w:hanging="360"/>
      </w:pPr>
      <w:rPr>
        <w:rFonts w:cs="Times New Roman"/>
      </w:rPr>
    </w:lvl>
    <w:lvl w:ilvl="2" w:tplc="2B24542A" w:tentative="1">
      <w:start w:val="1"/>
      <w:numFmt w:val="lowerRoman"/>
      <w:lvlText w:val="%3."/>
      <w:lvlJc w:val="right"/>
      <w:pPr>
        <w:ind w:left="1800" w:hanging="180"/>
      </w:pPr>
      <w:rPr>
        <w:rFonts w:cs="Times New Roman"/>
      </w:rPr>
    </w:lvl>
    <w:lvl w:ilvl="3" w:tplc="2B4EB35E" w:tentative="1">
      <w:start w:val="1"/>
      <w:numFmt w:val="decimal"/>
      <w:lvlText w:val="%4."/>
      <w:lvlJc w:val="left"/>
      <w:pPr>
        <w:ind w:left="2520" w:hanging="360"/>
      </w:pPr>
      <w:rPr>
        <w:rFonts w:cs="Times New Roman"/>
      </w:rPr>
    </w:lvl>
    <w:lvl w:ilvl="4" w:tplc="C9CC1F44" w:tentative="1">
      <w:start w:val="1"/>
      <w:numFmt w:val="lowerLetter"/>
      <w:lvlText w:val="%5."/>
      <w:lvlJc w:val="left"/>
      <w:pPr>
        <w:ind w:left="3240" w:hanging="360"/>
      </w:pPr>
      <w:rPr>
        <w:rFonts w:cs="Times New Roman"/>
      </w:rPr>
    </w:lvl>
    <w:lvl w:ilvl="5" w:tplc="C7A69FBE" w:tentative="1">
      <w:start w:val="1"/>
      <w:numFmt w:val="lowerRoman"/>
      <w:lvlText w:val="%6."/>
      <w:lvlJc w:val="right"/>
      <w:pPr>
        <w:ind w:left="3960" w:hanging="180"/>
      </w:pPr>
      <w:rPr>
        <w:rFonts w:cs="Times New Roman"/>
      </w:rPr>
    </w:lvl>
    <w:lvl w:ilvl="6" w:tplc="E7C2804A" w:tentative="1">
      <w:start w:val="1"/>
      <w:numFmt w:val="decimal"/>
      <w:lvlText w:val="%7."/>
      <w:lvlJc w:val="left"/>
      <w:pPr>
        <w:ind w:left="4680" w:hanging="360"/>
      </w:pPr>
      <w:rPr>
        <w:rFonts w:cs="Times New Roman"/>
      </w:rPr>
    </w:lvl>
    <w:lvl w:ilvl="7" w:tplc="15EA2F08" w:tentative="1">
      <w:start w:val="1"/>
      <w:numFmt w:val="lowerLetter"/>
      <w:lvlText w:val="%8."/>
      <w:lvlJc w:val="left"/>
      <w:pPr>
        <w:ind w:left="5400" w:hanging="360"/>
      </w:pPr>
      <w:rPr>
        <w:rFonts w:cs="Times New Roman"/>
      </w:rPr>
    </w:lvl>
    <w:lvl w:ilvl="8" w:tplc="BD4C9D82"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0F28C3B6">
      <w:start w:val="6"/>
      <w:numFmt w:val="decimal"/>
      <w:lvlText w:val="%1"/>
      <w:lvlJc w:val="left"/>
      <w:pPr>
        <w:ind w:left="720" w:hanging="360"/>
      </w:pPr>
      <w:rPr>
        <w:rFonts w:hint="default"/>
      </w:rPr>
    </w:lvl>
    <w:lvl w:ilvl="1" w:tplc="D48469C6" w:tentative="1">
      <w:start w:val="1"/>
      <w:numFmt w:val="lowerLetter"/>
      <w:lvlText w:val="%2."/>
      <w:lvlJc w:val="left"/>
      <w:pPr>
        <w:ind w:left="1440" w:hanging="360"/>
      </w:pPr>
    </w:lvl>
    <w:lvl w:ilvl="2" w:tplc="58204E18" w:tentative="1">
      <w:start w:val="1"/>
      <w:numFmt w:val="lowerRoman"/>
      <w:lvlText w:val="%3."/>
      <w:lvlJc w:val="right"/>
      <w:pPr>
        <w:ind w:left="2160" w:hanging="180"/>
      </w:pPr>
    </w:lvl>
    <w:lvl w:ilvl="3" w:tplc="556C8928" w:tentative="1">
      <w:start w:val="1"/>
      <w:numFmt w:val="decimal"/>
      <w:lvlText w:val="%4."/>
      <w:lvlJc w:val="left"/>
      <w:pPr>
        <w:ind w:left="2880" w:hanging="360"/>
      </w:pPr>
    </w:lvl>
    <w:lvl w:ilvl="4" w:tplc="55228EB2" w:tentative="1">
      <w:start w:val="1"/>
      <w:numFmt w:val="lowerLetter"/>
      <w:lvlText w:val="%5."/>
      <w:lvlJc w:val="left"/>
      <w:pPr>
        <w:ind w:left="3600" w:hanging="360"/>
      </w:pPr>
    </w:lvl>
    <w:lvl w:ilvl="5" w:tplc="BAFAA982" w:tentative="1">
      <w:start w:val="1"/>
      <w:numFmt w:val="lowerRoman"/>
      <w:lvlText w:val="%6."/>
      <w:lvlJc w:val="right"/>
      <w:pPr>
        <w:ind w:left="4320" w:hanging="180"/>
      </w:pPr>
    </w:lvl>
    <w:lvl w:ilvl="6" w:tplc="82185A18" w:tentative="1">
      <w:start w:val="1"/>
      <w:numFmt w:val="decimal"/>
      <w:lvlText w:val="%7."/>
      <w:lvlJc w:val="left"/>
      <w:pPr>
        <w:ind w:left="5040" w:hanging="360"/>
      </w:pPr>
    </w:lvl>
    <w:lvl w:ilvl="7" w:tplc="D96EF776" w:tentative="1">
      <w:start w:val="1"/>
      <w:numFmt w:val="lowerLetter"/>
      <w:lvlText w:val="%8."/>
      <w:lvlJc w:val="left"/>
      <w:pPr>
        <w:ind w:left="5760" w:hanging="360"/>
      </w:pPr>
    </w:lvl>
    <w:lvl w:ilvl="8" w:tplc="07301A92"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D6DA220E">
      <w:start w:val="5"/>
      <w:numFmt w:val="decimal"/>
      <w:lvlText w:val="%1"/>
      <w:lvlJc w:val="left"/>
      <w:pPr>
        <w:ind w:left="1080" w:hanging="360"/>
      </w:pPr>
      <w:rPr>
        <w:rFonts w:hint="default"/>
      </w:rPr>
    </w:lvl>
    <w:lvl w:ilvl="1" w:tplc="F8A46F00" w:tentative="1">
      <w:start w:val="1"/>
      <w:numFmt w:val="lowerLetter"/>
      <w:lvlText w:val="%2."/>
      <w:lvlJc w:val="left"/>
      <w:pPr>
        <w:ind w:left="1800" w:hanging="360"/>
      </w:pPr>
    </w:lvl>
    <w:lvl w:ilvl="2" w:tplc="B42A4484" w:tentative="1">
      <w:start w:val="1"/>
      <w:numFmt w:val="lowerRoman"/>
      <w:lvlText w:val="%3."/>
      <w:lvlJc w:val="right"/>
      <w:pPr>
        <w:ind w:left="2520" w:hanging="180"/>
      </w:pPr>
    </w:lvl>
    <w:lvl w:ilvl="3" w:tplc="EE5A8956" w:tentative="1">
      <w:start w:val="1"/>
      <w:numFmt w:val="decimal"/>
      <w:lvlText w:val="%4."/>
      <w:lvlJc w:val="left"/>
      <w:pPr>
        <w:ind w:left="3240" w:hanging="360"/>
      </w:pPr>
    </w:lvl>
    <w:lvl w:ilvl="4" w:tplc="27F06842" w:tentative="1">
      <w:start w:val="1"/>
      <w:numFmt w:val="lowerLetter"/>
      <w:lvlText w:val="%5."/>
      <w:lvlJc w:val="left"/>
      <w:pPr>
        <w:ind w:left="3960" w:hanging="360"/>
      </w:pPr>
    </w:lvl>
    <w:lvl w:ilvl="5" w:tplc="256A9FC0" w:tentative="1">
      <w:start w:val="1"/>
      <w:numFmt w:val="lowerRoman"/>
      <w:lvlText w:val="%6."/>
      <w:lvlJc w:val="right"/>
      <w:pPr>
        <w:ind w:left="4680" w:hanging="180"/>
      </w:pPr>
    </w:lvl>
    <w:lvl w:ilvl="6" w:tplc="0C6CD634" w:tentative="1">
      <w:start w:val="1"/>
      <w:numFmt w:val="decimal"/>
      <w:lvlText w:val="%7."/>
      <w:lvlJc w:val="left"/>
      <w:pPr>
        <w:ind w:left="5400" w:hanging="360"/>
      </w:pPr>
    </w:lvl>
    <w:lvl w:ilvl="7" w:tplc="44283DB0" w:tentative="1">
      <w:start w:val="1"/>
      <w:numFmt w:val="lowerLetter"/>
      <w:lvlText w:val="%8."/>
      <w:lvlJc w:val="left"/>
      <w:pPr>
        <w:ind w:left="6120" w:hanging="360"/>
      </w:pPr>
    </w:lvl>
    <w:lvl w:ilvl="8" w:tplc="00FC1D94"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0F1CE524">
      <w:start w:val="1"/>
      <w:numFmt w:val="decimal"/>
      <w:lvlText w:val="%1."/>
      <w:lvlJc w:val="left"/>
      <w:pPr>
        <w:ind w:left="720" w:hanging="360"/>
      </w:pPr>
      <w:rPr>
        <w:rFonts w:cs="Times New Roman" w:hint="default"/>
      </w:rPr>
    </w:lvl>
    <w:lvl w:ilvl="1" w:tplc="408C8DC4" w:tentative="1">
      <w:start w:val="1"/>
      <w:numFmt w:val="lowerLetter"/>
      <w:lvlText w:val="%2."/>
      <w:lvlJc w:val="left"/>
      <w:pPr>
        <w:ind w:left="1440" w:hanging="360"/>
      </w:pPr>
      <w:rPr>
        <w:rFonts w:cs="Times New Roman"/>
      </w:rPr>
    </w:lvl>
    <w:lvl w:ilvl="2" w:tplc="175C6BC2" w:tentative="1">
      <w:start w:val="1"/>
      <w:numFmt w:val="lowerRoman"/>
      <w:lvlText w:val="%3."/>
      <w:lvlJc w:val="right"/>
      <w:pPr>
        <w:ind w:left="2160" w:hanging="180"/>
      </w:pPr>
      <w:rPr>
        <w:rFonts w:cs="Times New Roman"/>
      </w:rPr>
    </w:lvl>
    <w:lvl w:ilvl="3" w:tplc="7980A456" w:tentative="1">
      <w:start w:val="1"/>
      <w:numFmt w:val="decimal"/>
      <w:lvlText w:val="%4."/>
      <w:lvlJc w:val="left"/>
      <w:pPr>
        <w:ind w:left="2880" w:hanging="360"/>
      </w:pPr>
      <w:rPr>
        <w:rFonts w:cs="Times New Roman"/>
      </w:rPr>
    </w:lvl>
    <w:lvl w:ilvl="4" w:tplc="21EE0D0C" w:tentative="1">
      <w:start w:val="1"/>
      <w:numFmt w:val="lowerLetter"/>
      <w:lvlText w:val="%5."/>
      <w:lvlJc w:val="left"/>
      <w:pPr>
        <w:ind w:left="3600" w:hanging="360"/>
      </w:pPr>
      <w:rPr>
        <w:rFonts w:cs="Times New Roman"/>
      </w:rPr>
    </w:lvl>
    <w:lvl w:ilvl="5" w:tplc="ECAC114A" w:tentative="1">
      <w:start w:val="1"/>
      <w:numFmt w:val="lowerRoman"/>
      <w:lvlText w:val="%6."/>
      <w:lvlJc w:val="right"/>
      <w:pPr>
        <w:ind w:left="4320" w:hanging="180"/>
      </w:pPr>
      <w:rPr>
        <w:rFonts w:cs="Times New Roman"/>
      </w:rPr>
    </w:lvl>
    <w:lvl w:ilvl="6" w:tplc="9C58564C" w:tentative="1">
      <w:start w:val="1"/>
      <w:numFmt w:val="decimal"/>
      <w:lvlText w:val="%7."/>
      <w:lvlJc w:val="left"/>
      <w:pPr>
        <w:ind w:left="5040" w:hanging="360"/>
      </w:pPr>
      <w:rPr>
        <w:rFonts w:cs="Times New Roman"/>
      </w:rPr>
    </w:lvl>
    <w:lvl w:ilvl="7" w:tplc="09A09B6C" w:tentative="1">
      <w:start w:val="1"/>
      <w:numFmt w:val="lowerLetter"/>
      <w:lvlText w:val="%8."/>
      <w:lvlJc w:val="left"/>
      <w:pPr>
        <w:ind w:left="5760" w:hanging="360"/>
      </w:pPr>
      <w:rPr>
        <w:rFonts w:cs="Times New Roman"/>
      </w:rPr>
    </w:lvl>
    <w:lvl w:ilvl="8" w:tplc="E3DCF3DA"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FC7CE1C8">
      <w:start w:val="1"/>
      <w:numFmt w:val="bullet"/>
      <w:lvlText w:val=""/>
      <w:lvlJc w:val="left"/>
      <w:pPr>
        <w:ind w:left="720" w:hanging="360"/>
      </w:pPr>
      <w:rPr>
        <w:rFonts w:ascii="Symbol" w:hAnsi="Symbol" w:hint="default"/>
      </w:rPr>
    </w:lvl>
    <w:lvl w:ilvl="1" w:tplc="627EF750" w:tentative="1">
      <w:start w:val="1"/>
      <w:numFmt w:val="bullet"/>
      <w:lvlText w:val="o"/>
      <w:lvlJc w:val="left"/>
      <w:pPr>
        <w:ind w:left="1440" w:hanging="360"/>
      </w:pPr>
      <w:rPr>
        <w:rFonts w:ascii="Courier New" w:hAnsi="Courier New" w:hint="default"/>
      </w:rPr>
    </w:lvl>
    <w:lvl w:ilvl="2" w:tplc="6AC45D62" w:tentative="1">
      <w:start w:val="1"/>
      <w:numFmt w:val="bullet"/>
      <w:lvlText w:val=""/>
      <w:lvlJc w:val="left"/>
      <w:pPr>
        <w:ind w:left="2160" w:hanging="360"/>
      </w:pPr>
      <w:rPr>
        <w:rFonts w:ascii="Wingdings" w:hAnsi="Wingdings" w:hint="default"/>
      </w:rPr>
    </w:lvl>
    <w:lvl w:ilvl="3" w:tplc="D5FCAB48" w:tentative="1">
      <w:start w:val="1"/>
      <w:numFmt w:val="bullet"/>
      <w:lvlText w:val=""/>
      <w:lvlJc w:val="left"/>
      <w:pPr>
        <w:ind w:left="2880" w:hanging="360"/>
      </w:pPr>
      <w:rPr>
        <w:rFonts w:ascii="Symbol" w:hAnsi="Symbol" w:hint="default"/>
      </w:rPr>
    </w:lvl>
    <w:lvl w:ilvl="4" w:tplc="9B7EB904" w:tentative="1">
      <w:start w:val="1"/>
      <w:numFmt w:val="bullet"/>
      <w:lvlText w:val="o"/>
      <w:lvlJc w:val="left"/>
      <w:pPr>
        <w:ind w:left="3600" w:hanging="360"/>
      </w:pPr>
      <w:rPr>
        <w:rFonts w:ascii="Courier New" w:hAnsi="Courier New" w:hint="default"/>
      </w:rPr>
    </w:lvl>
    <w:lvl w:ilvl="5" w:tplc="3D22A580" w:tentative="1">
      <w:start w:val="1"/>
      <w:numFmt w:val="bullet"/>
      <w:lvlText w:val=""/>
      <w:lvlJc w:val="left"/>
      <w:pPr>
        <w:ind w:left="4320" w:hanging="360"/>
      </w:pPr>
      <w:rPr>
        <w:rFonts w:ascii="Wingdings" w:hAnsi="Wingdings" w:hint="default"/>
      </w:rPr>
    </w:lvl>
    <w:lvl w:ilvl="6" w:tplc="C272272A" w:tentative="1">
      <w:start w:val="1"/>
      <w:numFmt w:val="bullet"/>
      <w:lvlText w:val=""/>
      <w:lvlJc w:val="left"/>
      <w:pPr>
        <w:ind w:left="5040" w:hanging="360"/>
      </w:pPr>
      <w:rPr>
        <w:rFonts w:ascii="Symbol" w:hAnsi="Symbol" w:hint="default"/>
      </w:rPr>
    </w:lvl>
    <w:lvl w:ilvl="7" w:tplc="00B44C42" w:tentative="1">
      <w:start w:val="1"/>
      <w:numFmt w:val="bullet"/>
      <w:lvlText w:val="o"/>
      <w:lvlJc w:val="left"/>
      <w:pPr>
        <w:ind w:left="5760" w:hanging="360"/>
      </w:pPr>
      <w:rPr>
        <w:rFonts w:ascii="Courier New" w:hAnsi="Courier New" w:hint="default"/>
      </w:rPr>
    </w:lvl>
    <w:lvl w:ilvl="8" w:tplc="0C0686D4"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82FC873E">
      <w:start w:val="1"/>
      <w:numFmt w:val="decimal"/>
      <w:lvlText w:val="%1."/>
      <w:lvlJc w:val="left"/>
      <w:pPr>
        <w:ind w:left="786" w:hanging="360"/>
      </w:pPr>
      <w:rPr>
        <w:rFonts w:cs="Times New Roman" w:hint="default"/>
      </w:rPr>
    </w:lvl>
    <w:lvl w:ilvl="1" w:tplc="FB720654" w:tentative="1">
      <w:start w:val="1"/>
      <w:numFmt w:val="lowerLetter"/>
      <w:lvlText w:val="%2."/>
      <w:lvlJc w:val="left"/>
      <w:pPr>
        <w:ind w:left="1506" w:hanging="360"/>
      </w:pPr>
      <w:rPr>
        <w:rFonts w:cs="Times New Roman"/>
      </w:rPr>
    </w:lvl>
    <w:lvl w:ilvl="2" w:tplc="11622ACC" w:tentative="1">
      <w:start w:val="1"/>
      <w:numFmt w:val="lowerRoman"/>
      <w:lvlText w:val="%3."/>
      <w:lvlJc w:val="right"/>
      <w:pPr>
        <w:ind w:left="2226" w:hanging="180"/>
      </w:pPr>
      <w:rPr>
        <w:rFonts w:cs="Times New Roman"/>
      </w:rPr>
    </w:lvl>
    <w:lvl w:ilvl="3" w:tplc="587E640A" w:tentative="1">
      <w:start w:val="1"/>
      <w:numFmt w:val="decimal"/>
      <w:lvlText w:val="%4."/>
      <w:lvlJc w:val="left"/>
      <w:pPr>
        <w:ind w:left="2946" w:hanging="360"/>
      </w:pPr>
      <w:rPr>
        <w:rFonts w:cs="Times New Roman"/>
      </w:rPr>
    </w:lvl>
    <w:lvl w:ilvl="4" w:tplc="4432BBB4" w:tentative="1">
      <w:start w:val="1"/>
      <w:numFmt w:val="lowerLetter"/>
      <w:lvlText w:val="%5."/>
      <w:lvlJc w:val="left"/>
      <w:pPr>
        <w:ind w:left="3666" w:hanging="360"/>
      </w:pPr>
      <w:rPr>
        <w:rFonts w:cs="Times New Roman"/>
      </w:rPr>
    </w:lvl>
    <w:lvl w:ilvl="5" w:tplc="657CA820" w:tentative="1">
      <w:start w:val="1"/>
      <w:numFmt w:val="lowerRoman"/>
      <w:lvlText w:val="%6."/>
      <w:lvlJc w:val="right"/>
      <w:pPr>
        <w:ind w:left="4386" w:hanging="180"/>
      </w:pPr>
      <w:rPr>
        <w:rFonts w:cs="Times New Roman"/>
      </w:rPr>
    </w:lvl>
    <w:lvl w:ilvl="6" w:tplc="81EA7CD4" w:tentative="1">
      <w:start w:val="1"/>
      <w:numFmt w:val="decimal"/>
      <w:lvlText w:val="%7."/>
      <w:lvlJc w:val="left"/>
      <w:pPr>
        <w:ind w:left="5106" w:hanging="360"/>
      </w:pPr>
      <w:rPr>
        <w:rFonts w:cs="Times New Roman"/>
      </w:rPr>
    </w:lvl>
    <w:lvl w:ilvl="7" w:tplc="4C8C2EA2" w:tentative="1">
      <w:start w:val="1"/>
      <w:numFmt w:val="lowerLetter"/>
      <w:lvlText w:val="%8."/>
      <w:lvlJc w:val="left"/>
      <w:pPr>
        <w:ind w:left="5826" w:hanging="360"/>
      </w:pPr>
      <w:rPr>
        <w:rFonts w:cs="Times New Roman"/>
      </w:rPr>
    </w:lvl>
    <w:lvl w:ilvl="8" w:tplc="45C40026"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CFBA9F76">
      <w:start w:val="6"/>
      <w:numFmt w:val="decimal"/>
      <w:lvlText w:val="%1."/>
      <w:lvlJc w:val="left"/>
      <w:pPr>
        <w:ind w:left="720" w:hanging="360"/>
      </w:pPr>
      <w:rPr>
        <w:rFonts w:hint="default"/>
        <w:b/>
      </w:rPr>
    </w:lvl>
    <w:lvl w:ilvl="1" w:tplc="F808F01E" w:tentative="1">
      <w:start w:val="1"/>
      <w:numFmt w:val="lowerLetter"/>
      <w:lvlText w:val="%2."/>
      <w:lvlJc w:val="left"/>
      <w:pPr>
        <w:ind w:left="1440" w:hanging="360"/>
      </w:pPr>
    </w:lvl>
    <w:lvl w:ilvl="2" w:tplc="73F2742A" w:tentative="1">
      <w:start w:val="1"/>
      <w:numFmt w:val="lowerRoman"/>
      <w:lvlText w:val="%3."/>
      <w:lvlJc w:val="right"/>
      <w:pPr>
        <w:ind w:left="2160" w:hanging="180"/>
      </w:pPr>
    </w:lvl>
    <w:lvl w:ilvl="3" w:tplc="12C470A6" w:tentative="1">
      <w:start w:val="1"/>
      <w:numFmt w:val="decimal"/>
      <w:lvlText w:val="%4."/>
      <w:lvlJc w:val="left"/>
      <w:pPr>
        <w:ind w:left="2880" w:hanging="360"/>
      </w:pPr>
    </w:lvl>
    <w:lvl w:ilvl="4" w:tplc="F2181DD6" w:tentative="1">
      <w:start w:val="1"/>
      <w:numFmt w:val="lowerLetter"/>
      <w:lvlText w:val="%5."/>
      <w:lvlJc w:val="left"/>
      <w:pPr>
        <w:ind w:left="3600" w:hanging="360"/>
      </w:pPr>
    </w:lvl>
    <w:lvl w:ilvl="5" w:tplc="19B212FE" w:tentative="1">
      <w:start w:val="1"/>
      <w:numFmt w:val="lowerRoman"/>
      <w:lvlText w:val="%6."/>
      <w:lvlJc w:val="right"/>
      <w:pPr>
        <w:ind w:left="4320" w:hanging="180"/>
      </w:pPr>
    </w:lvl>
    <w:lvl w:ilvl="6" w:tplc="D79616EC" w:tentative="1">
      <w:start w:val="1"/>
      <w:numFmt w:val="decimal"/>
      <w:lvlText w:val="%7."/>
      <w:lvlJc w:val="left"/>
      <w:pPr>
        <w:ind w:left="5040" w:hanging="360"/>
      </w:pPr>
    </w:lvl>
    <w:lvl w:ilvl="7" w:tplc="BDEA38F2" w:tentative="1">
      <w:start w:val="1"/>
      <w:numFmt w:val="lowerLetter"/>
      <w:lvlText w:val="%8."/>
      <w:lvlJc w:val="left"/>
      <w:pPr>
        <w:ind w:left="5760" w:hanging="360"/>
      </w:pPr>
    </w:lvl>
    <w:lvl w:ilvl="8" w:tplc="F15E5252"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4AE6C31E">
      <w:start w:val="1"/>
      <w:numFmt w:val="bullet"/>
      <w:lvlText w:val=""/>
      <w:lvlJc w:val="left"/>
      <w:pPr>
        <w:ind w:left="720" w:hanging="360"/>
      </w:pPr>
      <w:rPr>
        <w:rFonts w:ascii="Symbol" w:hAnsi="Symbol" w:hint="default"/>
      </w:rPr>
    </w:lvl>
    <w:lvl w:ilvl="1" w:tplc="CAA0014E">
      <w:start w:val="1"/>
      <w:numFmt w:val="bullet"/>
      <w:lvlText w:val="o"/>
      <w:lvlJc w:val="left"/>
      <w:pPr>
        <w:ind w:left="1440" w:hanging="360"/>
      </w:pPr>
      <w:rPr>
        <w:rFonts w:ascii="Courier New" w:hAnsi="Courier New" w:cs="Courier New" w:hint="default"/>
      </w:rPr>
    </w:lvl>
    <w:lvl w:ilvl="2" w:tplc="462C6084" w:tentative="1">
      <w:start w:val="1"/>
      <w:numFmt w:val="bullet"/>
      <w:lvlText w:val=""/>
      <w:lvlJc w:val="left"/>
      <w:pPr>
        <w:ind w:left="2160" w:hanging="360"/>
      </w:pPr>
      <w:rPr>
        <w:rFonts w:ascii="Wingdings" w:hAnsi="Wingdings" w:hint="default"/>
      </w:rPr>
    </w:lvl>
    <w:lvl w:ilvl="3" w:tplc="268C2BE8" w:tentative="1">
      <w:start w:val="1"/>
      <w:numFmt w:val="bullet"/>
      <w:lvlText w:val=""/>
      <w:lvlJc w:val="left"/>
      <w:pPr>
        <w:ind w:left="2880" w:hanging="360"/>
      </w:pPr>
      <w:rPr>
        <w:rFonts w:ascii="Symbol" w:hAnsi="Symbol" w:hint="default"/>
      </w:rPr>
    </w:lvl>
    <w:lvl w:ilvl="4" w:tplc="B85AD3DE" w:tentative="1">
      <w:start w:val="1"/>
      <w:numFmt w:val="bullet"/>
      <w:lvlText w:val="o"/>
      <w:lvlJc w:val="left"/>
      <w:pPr>
        <w:ind w:left="3600" w:hanging="360"/>
      </w:pPr>
      <w:rPr>
        <w:rFonts w:ascii="Courier New" w:hAnsi="Courier New" w:cs="Courier New" w:hint="default"/>
      </w:rPr>
    </w:lvl>
    <w:lvl w:ilvl="5" w:tplc="A31871B4" w:tentative="1">
      <w:start w:val="1"/>
      <w:numFmt w:val="bullet"/>
      <w:lvlText w:val=""/>
      <w:lvlJc w:val="left"/>
      <w:pPr>
        <w:ind w:left="4320" w:hanging="360"/>
      </w:pPr>
      <w:rPr>
        <w:rFonts w:ascii="Wingdings" w:hAnsi="Wingdings" w:hint="default"/>
      </w:rPr>
    </w:lvl>
    <w:lvl w:ilvl="6" w:tplc="87DC9118" w:tentative="1">
      <w:start w:val="1"/>
      <w:numFmt w:val="bullet"/>
      <w:lvlText w:val=""/>
      <w:lvlJc w:val="left"/>
      <w:pPr>
        <w:ind w:left="5040" w:hanging="360"/>
      </w:pPr>
      <w:rPr>
        <w:rFonts w:ascii="Symbol" w:hAnsi="Symbol" w:hint="default"/>
      </w:rPr>
    </w:lvl>
    <w:lvl w:ilvl="7" w:tplc="CEA87AA8" w:tentative="1">
      <w:start w:val="1"/>
      <w:numFmt w:val="bullet"/>
      <w:lvlText w:val="o"/>
      <w:lvlJc w:val="left"/>
      <w:pPr>
        <w:ind w:left="5760" w:hanging="360"/>
      </w:pPr>
      <w:rPr>
        <w:rFonts w:ascii="Courier New" w:hAnsi="Courier New" w:cs="Courier New" w:hint="default"/>
      </w:rPr>
    </w:lvl>
    <w:lvl w:ilvl="8" w:tplc="17C07B08"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2FBE016E">
      <w:start w:val="1"/>
      <w:numFmt w:val="decimal"/>
      <w:lvlText w:val="%1."/>
      <w:lvlJc w:val="left"/>
      <w:pPr>
        <w:ind w:left="720" w:hanging="360"/>
      </w:pPr>
      <w:rPr>
        <w:rFonts w:cs="Times New Roman"/>
      </w:rPr>
    </w:lvl>
    <w:lvl w:ilvl="1" w:tplc="54687B10" w:tentative="1">
      <w:start w:val="1"/>
      <w:numFmt w:val="lowerLetter"/>
      <w:lvlText w:val="%2."/>
      <w:lvlJc w:val="left"/>
      <w:pPr>
        <w:ind w:left="1440" w:hanging="360"/>
      </w:pPr>
      <w:rPr>
        <w:rFonts w:cs="Times New Roman"/>
      </w:rPr>
    </w:lvl>
    <w:lvl w:ilvl="2" w:tplc="7790580E" w:tentative="1">
      <w:start w:val="1"/>
      <w:numFmt w:val="lowerRoman"/>
      <w:lvlText w:val="%3."/>
      <w:lvlJc w:val="right"/>
      <w:pPr>
        <w:ind w:left="2160" w:hanging="180"/>
      </w:pPr>
      <w:rPr>
        <w:rFonts w:cs="Times New Roman"/>
      </w:rPr>
    </w:lvl>
    <w:lvl w:ilvl="3" w:tplc="775A5382" w:tentative="1">
      <w:start w:val="1"/>
      <w:numFmt w:val="decimal"/>
      <w:lvlText w:val="%4."/>
      <w:lvlJc w:val="left"/>
      <w:pPr>
        <w:ind w:left="2880" w:hanging="360"/>
      </w:pPr>
      <w:rPr>
        <w:rFonts w:cs="Times New Roman"/>
      </w:rPr>
    </w:lvl>
    <w:lvl w:ilvl="4" w:tplc="29EED288" w:tentative="1">
      <w:start w:val="1"/>
      <w:numFmt w:val="lowerLetter"/>
      <w:lvlText w:val="%5."/>
      <w:lvlJc w:val="left"/>
      <w:pPr>
        <w:ind w:left="3600" w:hanging="360"/>
      </w:pPr>
      <w:rPr>
        <w:rFonts w:cs="Times New Roman"/>
      </w:rPr>
    </w:lvl>
    <w:lvl w:ilvl="5" w:tplc="586A434C" w:tentative="1">
      <w:start w:val="1"/>
      <w:numFmt w:val="lowerRoman"/>
      <w:lvlText w:val="%6."/>
      <w:lvlJc w:val="right"/>
      <w:pPr>
        <w:ind w:left="4320" w:hanging="180"/>
      </w:pPr>
      <w:rPr>
        <w:rFonts w:cs="Times New Roman"/>
      </w:rPr>
    </w:lvl>
    <w:lvl w:ilvl="6" w:tplc="2FEA84F2" w:tentative="1">
      <w:start w:val="1"/>
      <w:numFmt w:val="decimal"/>
      <w:lvlText w:val="%7."/>
      <w:lvlJc w:val="left"/>
      <w:pPr>
        <w:ind w:left="5040" w:hanging="360"/>
      </w:pPr>
      <w:rPr>
        <w:rFonts w:cs="Times New Roman"/>
      </w:rPr>
    </w:lvl>
    <w:lvl w:ilvl="7" w:tplc="C22CB844" w:tentative="1">
      <w:start w:val="1"/>
      <w:numFmt w:val="lowerLetter"/>
      <w:lvlText w:val="%8."/>
      <w:lvlJc w:val="left"/>
      <w:pPr>
        <w:ind w:left="5760" w:hanging="360"/>
      </w:pPr>
      <w:rPr>
        <w:rFonts w:cs="Times New Roman"/>
      </w:rPr>
    </w:lvl>
    <w:lvl w:ilvl="8" w:tplc="98627662"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5EFC55CA">
      <w:start w:val="6"/>
      <w:numFmt w:val="decimal"/>
      <w:lvlText w:val="%1"/>
      <w:lvlJc w:val="left"/>
      <w:pPr>
        <w:ind w:left="720" w:hanging="360"/>
      </w:pPr>
      <w:rPr>
        <w:rFonts w:cs="Arial" w:hint="default"/>
      </w:rPr>
    </w:lvl>
    <w:lvl w:ilvl="1" w:tplc="7632DFE2" w:tentative="1">
      <w:start w:val="1"/>
      <w:numFmt w:val="lowerLetter"/>
      <w:lvlText w:val="%2."/>
      <w:lvlJc w:val="left"/>
      <w:pPr>
        <w:ind w:left="1440" w:hanging="360"/>
      </w:pPr>
    </w:lvl>
    <w:lvl w:ilvl="2" w:tplc="A65CC0E6" w:tentative="1">
      <w:start w:val="1"/>
      <w:numFmt w:val="lowerRoman"/>
      <w:lvlText w:val="%3."/>
      <w:lvlJc w:val="right"/>
      <w:pPr>
        <w:ind w:left="2160" w:hanging="180"/>
      </w:pPr>
    </w:lvl>
    <w:lvl w:ilvl="3" w:tplc="B120A2D2" w:tentative="1">
      <w:start w:val="1"/>
      <w:numFmt w:val="decimal"/>
      <w:lvlText w:val="%4."/>
      <w:lvlJc w:val="left"/>
      <w:pPr>
        <w:ind w:left="2880" w:hanging="360"/>
      </w:pPr>
    </w:lvl>
    <w:lvl w:ilvl="4" w:tplc="E0A6D75A" w:tentative="1">
      <w:start w:val="1"/>
      <w:numFmt w:val="lowerLetter"/>
      <w:lvlText w:val="%5."/>
      <w:lvlJc w:val="left"/>
      <w:pPr>
        <w:ind w:left="3600" w:hanging="360"/>
      </w:pPr>
    </w:lvl>
    <w:lvl w:ilvl="5" w:tplc="531E14A0" w:tentative="1">
      <w:start w:val="1"/>
      <w:numFmt w:val="lowerRoman"/>
      <w:lvlText w:val="%6."/>
      <w:lvlJc w:val="right"/>
      <w:pPr>
        <w:ind w:left="4320" w:hanging="180"/>
      </w:pPr>
    </w:lvl>
    <w:lvl w:ilvl="6" w:tplc="AC2A6430" w:tentative="1">
      <w:start w:val="1"/>
      <w:numFmt w:val="decimal"/>
      <w:lvlText w:val="%7."/>
      <w:lvlJc w:val="left"/>
      <w:pPr>
        <w:ind w:left="5040" w:hanging="360"/>
      </w:pPr>
    </w:lvl>
    <w:lvl w:ilvl="7" w:tplc="F8C41B66" w:tentative="1">
      <w:start w:val="1"/>
      <w:numFmt w:val="lowerLetter"/>
      <w:lvlText w:val="%8."/>
      <w:lvlJc w:val="left"/>
      <w:pPr>
        <w:ind w:left="5760" w:hanging="360"/>
      </w:pPr>
    </w:lvl>
    <w:lvl w:ilvl="8" w:tplc="921E00D8"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323CB0AA">
      <w:start w:val="1"/>
      <w:numFmt w:val="decimal"/>
      <w:lvlText w:val="%1."/>
      <w:lvlJc w:val="left"/>
      <w:pPr>
        <w:ind w:left="502" w:hanging="360"/>
      </w:pPr>
      <w:rPr>
        <w:rFonts w:hint="default"/>
      </w:rPr>
    </w:lvl>
    <w:lvl w:ilvl="1" w:tplc="0CE0473C" w:tentative="1">
      <w:start w:val="1"/>
      <w:numFmt w:val="lowerLetter"/>
      <w:lvlText w:val="%2."/>
      <w:lvlJc w:val="left"/>
      <w:pPr>
        <w:ind w:left="1222" w:hanging="360"/>
      </w:pPr>
      <w:rPr>
        <w:rFonts w:cs="Times New Roman"/>
      </w:rPr>
    </w:lvl>
    <w:lvl w:ilvl="2" w:tplc="1D3007A0" w:tentative="1">
      <w:start w:val="1"/>
      <w:numFmt w:val="lowerRoman"/>
      <w:lvlText w:val="%3."/>
      <w:lvlJc w:val="right"/>
      <w:pPr>
        <w:ind w:left="1942" w:hanging="180"/>
      </w:pPr>
      <w:rPr>
        <w:rFonts w:cs="Times New Roman"/>
      </w:rPr>
    </w:lvl>
    <w:lvl w:ilvl="3" w:tplc="D10EC6B2" w:tentative="1">
      <w:start w:val="1"/>
      <w:numFmt w:val="decimal"/>
      <w:lvlText w:val="%4."/>
      <w:lvlJc w:val="left"/>
      <w:pPr>
        <w:ind w:left="2662" w:hanging="360"/>
      </w:pPr>
      <w:rPr>
        <w:rFonts w:cs="Times New Roman"/>
      </w:rPr>
    </w:lvl>
    <w:lvl w:ilvl="4" w:tplc="527E4394" w:tentative="1">
      <w:start w:val="1"/>
      <w:numFmt w:val="lowerLetter"/>
      <w:lvlText w:val="%5."/>
      <w:lvlJc w:val="left"/>
      <w:pPr>
        <w:ind w:left="3382" w:hanging="360"/>
      </w:pPr>
      <w:rPr>
        <w:rFonts w:cs="Times New Roman"/>
      </w:rPr>
    </w:lvl>
    <w:lvl w:ilvl="5" w:tplc="EBC81154" w:tentative="1">
      <w:start w:val="1"/>
      <w:numFmt w:val="lowerRoman"/>
      <w:lvlText w:val="%6."/>
      <w:lvlJc w:val="right"/>
      <w:pPr>
        <w:ind w:left="4102" w:hanging="180"/>
      </w:pPr>
      <w:rPr>
        <w:rFonts w:cs="Times New Roman"/>
      </w:rPr>
    </w:lvl>
    <w:lvl w:ilvl="6" w:tplc="12467C8A" w:tentative="1">
      <w:start w:val="1"/>
      <w:numFmt w:val="decimal"/>
      <w:lvlText w:val="%7."/>
      <w:lvlJc w:val="left"/>
      <w:pPr>
        <w:ind w:left="4822" w:hanging="360"/>
      </w:pPr>
      <w:rPr>
        <w:rFonts w:cs="Times New Roman"/>
      </w:rPr>
    </w:lvl>
    <w:lvl w:ilvl="7" w:tplc="264217AA" w:tentative="1">
      <w:start w:val="1"/>
      <w:numFmt w:val="lowerLetter"/>
      <w:lvlText w:val="%8."/>
      <w:lvlJc w:val="left"/>
      <w:pPr>
        <w:ind w:left="5542" w:hanging="360"/>
      </w:pPr>
      <w:rPr>
        <w:rFonts w:cs="Times New Roman"/>
      </w:rPr>
    </w:lvl>
    <w:lvl w:ilvl="8" w:tplc="47108176"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1D086C"/>
    <w:multiLevelType w:val="hybridMultilevel"/>
    <w:tmpl w:val="937CA470"/>
    <w:lvl w:ilvl="0" w:tplc="29D06BA6">
      <w:start w:val="1"/>
      <w:numFmt w:val="bullet"/>
      <w:lvlText w:val=""/>
      <w:lvlJc w:val="left"/>
      <w:pPr>
        <w:ind w:left="720" w:hanging="360"/>
      </w:pPr>
      <w:rPr>
        <w:rFonts w:ascii="Symbol" w:hAnsi="Symbol" w:hint="default"/>
      </w:rPr>
    </w:lvl>
    <w:lvl w:ilvl="1" w:tplc="367828DE" w:tentative="1">
      <w:start w:val="1"/>
      <w:numFmt w:val="bullet"/>
      <w:lvlText w:val="o"/>
      <w:lvlJc w:val="left"/>
      <w:pPr>
        <w:ind w:left="1440" w:hanging="360"/>
      </w:pPr>
      <w:rPr>
        <w:rFonts w:ascii="Courier New" w:hAnsi="Courier New" w:cs="Courier New" w:hint="default"/>
      </w:rPr>
    </w:lvl>
    <w:lvl w:ilvl="2" w:tplc="2A7A0060" w:tentative="1">
      <w:start w:val="1"/>
      <w:numFmt w:val="bullet"/>
      <w:lvlText w:val=""/>
      <w:lvlJc w:val="left"/>
      <w:pPr>
        <w:ind w:left="2160" w:hanging="360"/>
      </w:pPr>
      <w:rPr>
        <w:rFonts w:ascii="Wingdings" w:hAnsi="Wingdings" w:hint="default"/>
      </w:rPr>
    </w:lvl>
    <w:lvl w:ilvl="3" w:tplc="AB3A7F58" w:tentative="1">
      <w:start w:val="1"/>
      <w:numFmt w:val="bullet"/>
      <w:lvlText w:val=""/>
      <w:lvlJc w:val="left"/>
      <w:pPr>
        <w:ind w:left="2880" w:hanging="360"/>
      </w:pPr>
      <w:rPr>
        <w:rFonts w:ascii="Symbol" w:hAnsi="Symbol" w:hint="default"/>
      </w:rPr>
    </w:lvl>
    <w:lvl w:ilvl="4" w:tplc="F9386296" w:tentative="1">
      <w:start w:val="1"/>
      <w:numFmt w:val="bullet"/>
      <w:lvlText w:val="o"/>
      <w:lvlJc w:val="left"/>
      <w:pPr>
        <w:ind w:left="3600" w:hanging="360"/>
      </w:pPr>
      <w:rPr>
        <w:rFonts w:ascii="Courier New" w:hAnsi="Courier New" w:cs="Courier New" w:hint="default"/>
      </w:rPr>
    </w:lvl>
    <w:lvl w:ilvl="5" w:tplc="B09A9256" w:tentative="1">
      <w:start w:val="1"/>
      <w:numFmt w:val="bullet"/>
      <w:lvlText w:val=""/>
      <w:lvlJc w:val="left"/>
      <w:pPr>
        <w:ind w:left="4320" w:hanging="360"/>
      </w:pPr>
      <w:rPr>
        <w:rFonts w:ascii="Wingdings" w:hAnsi="Wingdings" w:hint="default"/>
      </w:rPr>
    </w:lvl>
    <w:lvl w:ilvl="6" w:tplc="87847CFE" w:tentative="1">
      <w:start w:val="1"/>
      <w:numFmt w:val="bullet"/>
      <w:lvlText w:val=""/>
      <w:lvlJc w:val="left"/>
      <w:pPr>
        <w:ind w:left="5040" w:hanging="360"/>
      </w:pPr>
      <w:rPr>
        <w:rFonts w:ascii="Symbol" w:hAnsi="Symbol" w:hint="default"/>
      </w:rPr>
    </w:lvl>
    <w:lvl w:ilvl="7" w:tplc="A25E9304" w:tentative="1">
      <w:start w:val="1"/>
      <w:numFmt w:val="bullet"/>
      <w:lvlText w:val="o"/>
      <w:lvlJc w:val="left"/>
      <w:pPr>
        <w:ind w:left="5760" w:hanging="360"/>
      </w:pPr>
      <w:rPr>
        <w:rFonts w:ascii="Courier New" w:hAnsi="Courier New" w:cs="Courier New" w:hint="default"/>
      </w:rPr>
    </w:lvl>
    <w:lvl w:ilvl="8" w:tplc="929C0920" w:tentative="1">
      <w:start w:val="1"/>
      <w:numFmt w:val="bullet"/>
      <w:lvlText w:val=""/>
      <w:lvlJc w:val="left"/>
      <w:pPr>
        <w:ind w:left="6480" w:hanging="360"/>
      </w:pPr>
      <w:rPr>
        <w:rFonts w:ascii="Wingdings" w:hAnsi="Wingdings" w:hint="default"/>
      </w:rPr>
    </w:lvl>
  </w:abstractNum>
  <w:abstractNum w:abstractNumId="16" w15:restartNumberingAfterBreak="0">
    <w:nsid w:val="4F4E2415"/>
    <w:multiLevelType w:val="hybridMultilevel"/>
    <w:tmpl w:val="8CB0DAFC"/>
    <w:lvl w:ilvl="0" w:tplc="C1CADC94">
      <w:start w:val="7"/>
      <w:numFmt w:val="decimal"/>
      <w:lvlText w:val="%1"/>
      <w:lvlJc w:val="left"/>
      <w:pPr>
        <w:ind w:left="1080" w:hanging="360"/>
      </w:pPr>
      <w:rPr>
        <w:rFonts w:hint="default"/>
      </w:rPr>
    </w:lvl>
    <w:lvl w:ilvl="1" w:tplc="DB9C77C8" w:tentative="1">
      <w:start w:val="1"/>
      <w:numFmt w:val="lowerLetter"/>
      <w:lvlText w:val="%2."/>
      <w:lvlJc w:val="left"/>
      <w:pPr>
        <w:ind w:left="1800" w:hanging="360"/>
      </w:pPr>
    </w:lvl>
    <w:lvl w:ilvl="2" w:tplc="D464A502" w:tentative="1">
      <w:start w:val="1"/>
      <w:numFmt w:val="lowerRoman"/>
      <w:lvlText w:val="%3."/>
      <w:lvlJc w:val="right"/>
      <w:pPr>
        <w:ind w:left="2520" w:hanging="180"/>
      </w:pPr>
    </w:lvl>
    <w:lvl w:ilvl="3" w:tplc="E8104E30" w:tentative="1">
      <w:start w:val="1"/>
      <w:numFmt w:val="decimal"/>
      <w:lvlText w:val="%4."/>
      <w:lvlJc w:val="left"/>
      <w:pPr>
        <w:ind w:left="3240" w:hanging="360"/>
      </w:pPr>
    </w:lvl>
    <w:lvl w:ilvl="4" w:tplc="12FCC4F6" w:tentative="1">
      <w:start w:val="1"/>
      <w:numFmt w:val="lowerLetter"/>
      <w:lvlText w:val="%5."/>
      <w:lvlJc w:val="left"/>
      <w:pPr>
        <w:ind w:left="3960" w:hanging="360"/>
      </w:pPr>
    </w:lvl>
    <w:lvl w:ilvl="5" w:tplc="8F067392" w:tentative="1">
      <w:start w:val="1"/>
      <w:numFmt w:val="lowerRoman"/>
      <w:lvlText w:val="%6."/>
      <w:lvlJc w:val="right"/>
      <w:pPr>
        <w:ind w:left="4680" w:hanging="180"/>
      </w:pPr>
    </w:lvl>
    <w:lvl w:ilvl="6" w:tplc="150CAF06" w:tentative="1">
      <w:start w:val="1"/>
      <w:numFmt w:val="decimal"/>
      <w:lvlText w:val="%7."/>
      <w:lvlJc w:val="left"/>
      <w:pPr>
        <w:ind w:left="5400" w:hanging="360"/>
      </w:pPr>
    </w:lvl>
    <w:lvl w:ilvl="7" w:tplc="26C6DC44" w:tentative="1">
      <w:start w:val="1"/>
      <w:numFmt w:val="lowerLetter"/>
      <w:lvlText w:val="%8."/>
      <w:lvlJc w:val="left"/>
      <w:pPr>
        <w:ind w:left="6120" w:hanging="360"/>
      </w:pPr>
    </w:lvl>
    <w:lvl w:ilvl="8" w:tplc="DA88575C" w:tentative="1">
      <w:start w:val="1"/>
      <w:numFmt w:val="lowerRoman"/>
      <w:lvlText w:val="%9."/>
      <w:lvlJc w:val="right"/>
      <w:pPr>
        <w:ind w:left="6840" w:hanging="180"/>
      </w:pPr>
    </w:lvl>
  </w:abstractNum>
  <w:abstractNum w:abstractNumId="17" w15:restartNumberingAfterBreak="0">
    <w:nsid w:val="53175FE3"/>
    <w:multiLevelType w:val="hybridMultilevel"/>
    <w:tmpl w:val="C31ECC9C"/>
    <w:lvl w:ilvl="0" w:tplc="2E445B4C">
      <w:start w:val="1"/>
      <w:numFmt w:val="decimal"/>
      <w:lvlText w:val="%1."/>
      <w:lvlJc w:val="left"/>
      <w:pPr>
        <w:ind w:left="786" w:hanging="360"/>
      </w:pPr>
      <w:rPr>
        <w:rFonts w:cs="Times New Roman" w:hint="default"/>
        <w:b w:val="0"/>
        <w:sz w:val="20"/>
        <w:szCs w:val="20"/>
      </w:rPr>
    </w:lvl>
    <w:lvl w:ilvl="1" w:tplc="CE8E98BA" w:tentative="1">
      <w:start w:val="1"/>
      <w:numFmt w:val="lowerLetter"/>
      <w:lvlText w:val="%2."/>
      <w:lvlJc w:val="left"/>
      <w:pPr>
        <w:ind w:left="1364" w:hanging="360"/>
      </w:pPr>
      <w:rPr>
        <w:rFonts w:cs="Times New Roman"/>
      </w:rPr>
    </w:lvl>
    <w:lvl w:ilvl="2" w:tplc="8DFEB2CA" w:tentative="1">
      <w:start w:val="1"/>
      <w:numFmt w:val="lowerRoman"/>
      <w:lvlText w:val="%3."/>
      <w:lvlJc w:val="right"/>
      <w:pPr>
        <w:ind w:left="2084" w:hanging="180"/>
      </w:pPr>
      <w:rPr>
        <w:rFonts w:cs="Times New Roman"/>
      </w:rPr>
    </w:lvl>
    <w:lvl w:ilvl="3" w:tplc="9F365B76" w:tentative="1">
      <w:start w:val="1"/>
      <w:numFmt w:val="decimal"/>
      <w:lvlText w:val="%4."/>
      <w:lvlJc w:val="left"/>
      <w:pPr>
        <w:ind w:left="2804" w:hanging="360"/>
      </w:pPr>
      <w:rPr>
        <w:rFonts w:cs="Times New Roman"/>
      </w:rPr>
    </w:lvl>
    <w:lvl w:ilvl="4" w:tplc="4FE8D94C" w:tentative="1">
      <w:start w:val="1"/>
      <w:numFmt w:val="lowerLetter"/>
      <w:lvlText w:val="%5."/>
      <w:lvlJc w:val="left"/>
      <w:pPr>
        <w:ind w:left="3524" w:hanging="360"/>
      </w:pPr>
      <w:rPr>
        <w:rFonts w:cs="Times New Roman"/>
      </w:rPr>
    </w:lvl>
    <w:lvl w:ilvl="5" w:tplc="B0D6B8C4" w:tentative="1">
      <w:start w:val="1"/>
      <w:numFmt w:val="lowerRoman"/>
      <w:lvlText w:val="%6."/>
      <w:lvlJc w:val="right"/>
      <w:pPr>
        <w:ind w:left="4244" w:hanging="180"/>
      </w:pPr>
      <w:rPr>
        <w:rFonts w:cs="Times New Roman"/>
      </w:rPr>
    </w:lvl>
    <w:lvl w:ilvl="6" w:tplc="D7D256B2" w:tentative="1">
      <w:start w:val="1"/>
      <w:numFmt w:val="decimal"/>
      <w:lvlText w:val="%7."/>
      <w:lvlJc w:val="left"/>
      <w:pPr>
        <w:ind w:left="4964" w:hanging="360"/>
      </w:pPr>
      <w:rPr>
        <w:rFonts w:cs="Times New Roman"/>
      </w:rPr>
    </w:lvl>
    <w:lvl w:ilvl="7" w:tplc="61207F04" w:tentative="1">
      <w:start w:val="1"/>
      <w:numFmt w:val="lowerLetter"/>
      <w:lvlText w:val="%8."/>
      <w:lvlJc w:val="left"/>
      <w:pPr>
        <w:ind w:left="5684" w:hanging="360"/>
      </w:pPr>
      <w:rPr>
        <w:rFonts w:cs="Times New Roman"/>
      </w:rPr>
    </w:lvl>
    <w:lvl w:ilvl="8" w:tplc="25BC2966" w:tentative="1">
      <w:start w:val="1"/>
      <w:numFmt w:val="lowerRoman"/>
      <w:lvlText w:val="%9."/>
      <w:lvlJc w:val="right"/>
      <w:pPr>
        <w:ind w:left="6404" w:hanging="180"/>
      </w:pPr>
      <w:rPr>
        <w:rFonts w:cs="Times New Roman"/>
      </w:rPr>
    </w:lvl>
  </w:abstractNum>
  <w:abstractNum w:abstractNumId="18" w15:restartNumberingAfterBreak="0">
    <w:nsid w:val="55CC2815"/>
    <w:multiLevelType w:val="hybridMultilevel"/>
    <w:tmpl w:val="299839BA"/>
    <w:lvl w:ilvl="0" w:tplc="4C7A33FA">
      <w:start w:val="12"/>
      <w:numFmt w:val="decimal"/>
      <w:lvlText w:val="%1"/>
      <w:lvlJc w:val="left"/>
      <w:pPr>
        <w:ind w:left="720" w:hanging="360"/>
      </w:pPr>
      <w:rPr>
        <w:rFonts w:cs="Times New Roman" w:hint="default"/>
        <w:color w:val="auto"/>
      </w:rPr>
    </w:lvl>
    <w:lvl w:ilvl="1" w:tplc="67F80B5A" w:tentative="1">
      <w:start w:val="1"/>
      <w:numFmt w:val="lowerLetter"/>
      <w:lvlText w:val="%2."/>
      <w:lvlJc w:val="left"/>
      <w:pPr>
        <w:ind w:left="1440" w:hanging="360"/>
      </w:pPr>
      <w:rPr>
        <w:rFonts w:cs="Times New Roman"/>
      </w:rPr>
    </w:lvl>
    <w:lvl w:ilvl="2" w:tplc="F224DEB0" w:tentative="1">
      <w:start w:val="1"/>
      <w:numFmt w:val="lowerRoman"/>
      <w:lvlText w:val="%3."/>
      <w:lvlJc w:val="right"/>
      <w:pPr>
        <w:ind w:left="2160" w:hanging="180"/>
      </w:pPr>
      <w:rPr>
        <w:rFonts w:cs="Times New Roman"/>
      </w:rPr>
    </w:lvl>
    <w:lvl w:ilvl="3" w:tplc="9FE81E50" w:tentative="1">
      <w:start w:val="1"/>
      <w:numFmt w:val="decimal"/>
      <w:lvlText w:val="%4."/>
      <w:lvlJc w:val="left"/>
      <w:pPr>
        <w:ind w:left="2880" w:hanging="360"/>
      </w:pPr>
      <w:rPr>
        <w:rFonts w:cs="Times New Roman"/>
      </w:rPr>
    </w:lvl>
    <w:lvl w:ilvl="4" w:tplc="422CDC86" w:tentative="1">
      <w:start w:val="1"/>
      <w:numFmt w:val="lowerLetter"/>
      <w:lvlText w:val="%5."/>
      <w:lvlJc w:val="left"/>
      <w:pPr>
        <w:ind w:left="3600" w:hanging="360"/>
      </w:pPr>
      <w:rPr>
        <w:rFonts w:cs="Times New Roman"/>
      </w:rPr>
    </w:lvl>
    <w:lvl w:ilvl="5" w:tplc="85B05136" w:tentative="1">
      <w:start w:val="1"/>
      <w:numFmt w:val="lowerRoman"/>
      <w:lvlText w:val="%6."/>
      <w:lvlJc w:val="right"/>
      <w:pPr>
        <w:ind w:left="4320" w:hanging="180"/>
      </w:pPr>
      <w:rPr>
        <w:rFonts w:cs="Times New Roman"/>
      </w:rPr>
    </w:lvl>
    <w:lvl w:ilvl="6" w:tplc="0B041D96" w:tentative="1">
      <w:start w:val="1"/>
      <w:numFmt w:val="decimal"/>
      <w:lvlText w:val="%7."/>
      <w:lvlJc w:val="left"/>
      <w:pPr>
        <w:ind w:left="5040" w:hanging="360"/>
      </w:pPr>
      <w:rPr>
        <w:rFonts w:cs="Times New Roman"/>
      </w:rPr>
    </w:lvl>
    <w:lvl w:ilvl="7" w:tplc="476A0104" w:tentative="1">
      <w:start w:val="1"/>
      <w:numFmt w:val="lowerLetter"/>
      <w:lvlText w:val="%8."/>
      <w:lvlJc w:val="left"/>
      <w:pPr>
        <w:ind w:left="5760" w:hanging="360"/>
      </w:pPr>
      <w:rPr>
        <w:rFonts w:cs="Times New Roman"/>
      </w:rPr>
    </w:lvl>
    <w:lvl w:ilvl="8" w:tplc="5606A992" w:tentative="1">
      <w:start w:val="1"/>
      <w:numFmt w:val="lowerRoman"/>
      <w:lvlText w:val="%9."/>
      <w:lvlJc w:val="right"/>
      <w:pPr>
        <w:ind w:left="6480" w:hanging="180"/>
      </w:pPr>
      <w:rPr>
        <w:rFonts w:cs="Times New Roman"/>
      </w:rPr>
    </w:lvl>
  </w:abstractNum>
  <w:abstractNum w:abstractNumId="19" w15:restartNumberingAfterBreak="0">
    <w:nsid w:val="62E962C0"/>
    <w:multiLevelType w:val="hybridMultilevel"/>
    <w:tmpl w:val="0524B47E"/>
    <w:lvl w:ilvl="0" w:tplc="8A324A38">
      <w:start w:val="1"/>
      <w:numFmt w:val="decimal"/>
      <w:lvlText w:val="%1."/>
      <w:lvlJc w:val="left"/>
      <w:pPr>
        <w:ind w:left="720" w:hanging="360"/>
      </w:pPr>
      <w:rPr>
        <w:rFonts w:cs="Times New Roman" w:hint="default"/>
      </w:rPr>
    </w:lvl>
    <w:lvl w:ilvl="1" w:tplc="9B745F84" w:tentative="1">
      <w:start w:val="1"/>
      <w:numFmt w:val="lowerLetter"/>
      <w:lvlText w:val="%2."/>
      <w:lvlJc w:val="left"/>
      <w:pPr>
        <w:ind w:left="1440" w:hanging="360"/>
      </w:pPr>
      <w:rPr>
        <w:rFonts w:cs="Times New Roman"/>
      </w:rPr>
    </w:lvl>
    <w:lvl w:ilvl="2" w:tplc="A22E31C8" w:tentative="1">
      <w:start w:val="1"/>
      <w:numFmt w:val="lowerRoman"/>
      <w:lvlText w:val="%3."/>
      <w:lvlJc w:val="right"/>
      <w:pPr>
        <w:ind w:left="2160" w:hanging="180"/>
      </w:pPr>
      <w:rPr>
        <w:rFonts w:cs="Times New Roman"/>
      </w:rPr>
    </w:lvl>
    <w:lvl w:ilvl="3" w:tplc="36EA3106" w:tentative="1">
      <w:start w:val="1"/>
      <w:numFmt w:val="decimal"/>
      <w:lvlText w:val="%4."/>
      <w:lvlJc w:val="left"/>
      <w:pPr>
        <w:ind w:left="2880" w:hanging="360"/>
      </w:pPr>
      <w:rPr>
        <w:rFonts w:cs="Times New Roman"/>
      </w:rPr>
    </w:lvl>
    <w:lvl w:ilvl="4" w:tplc="42ECEBCA" w:tentative="1">
      <w:start w:val="1"/>
      <w:numFmt w:val="lowerLetter"/>
      <w:lvlText w:val="%5."/>
      <w:lvlJc w:val="left"/>
      <w:pPr>
        <w:ind w:left="3600" w:hanging="360"/>
      </w:pPr>
      <w:rPr>
        <w:rFonts w:cs="Times New Roman"/>
      </w:rPr>
    </w:lvl>
    <w:lvl w:ilvl="5" w:tplc="5B4A971A" w:tentative="1">
      <w:start w:val="1"/>
      <w:numFmt w:val="lowerRoman"/>
      <w:lvlText w:val="%6."/>
      <w:lvlJc w:val="right"/>
      <w:pPr>
        <w:ind w:left="4320" w:hanging="180"/>
      </w:pPr>
      <w:rPr>
        <w:rFonts w:cs="Times New Roman"/>
      </w:rPr>
    </w:lvl>
    <w:lvl w:ilvl="6" w:tplc="33CCA5C6" w:tentative="1">
      <w:start w:val="1"/>
      <w:numFmt w:val="decimal"/>
      <w:lvlText w:val="%7."/>
      <w:lvlJc w:val="left"/>
      <w:pPr>
        <w:ind w:left="5040" w:hanging="360"/>
      </w:pPr>
      <w:rPr>
        <w:rFonts w:cs="Times New Roman"/>
      </w:rPr>
    </w:lvl>
    <w:lvl w:ilvl="7" w:tplc="1EC6D210" w:tentative="1">
      <w:start w:val="1"/>
      <w:numFmt w:val="lowerLetter"/>
      <w:lvlText w:val="%8."/>
      <w:lvlJc w:val="left"/>
      <w:pPr>
        <w:ind w:left="5760" w:hanging="360"/>
      </w:pPr>
      <w:rPr>
        <w:rFonts w:cs="Times New Roman"/>
      </w:rPr>
    </w:lvl>
    <w:lvl w:ilvl="8" w:tplc="6B364E30" w:tentative="1">
      <w:start w:val="1"/>
      <w:numFmt w:val="lowerRoman"/>
      <w:lvlText w:val="%9."/>
      <w:lvlJc w:val="right"/>
      <w:pPr>
        <w:ind w:left="6480" w:hanging="180"/>
      </w:pPr>
      <w:rPr>
        <w:rFonts w:cs="Times New Roman"/>
      </w:rPr>
    </w:lvl>
  </w:abstractNum>
  <w:abstractNum w:abstractNumId="20" w15:restartNumberingAfterBreak="0">
    <w:nsid w:val="69187EAD"/>
    <w:multiLevelType w:val="hybridMultilevel"/>
    <w:tmpl w:val="2CB2FC14"/>
    <w:lvl w:ilvl="0" w:tplc="8946A55A">
      <w:start w:val="1"/>
      <w:numFmt w:val="decimal"/>
      <w:lvlText w:val="%1."/>
      <w:lvlJc w:val="left"/>
      <w:pPr>
        <w:ind w:left="360" w:hanging="360"/>
      </w:pPr>
      <w:rPr>
        <w:rFonts w:cs="Times New Roman" w:hint="default"/>
      </w:rPr>
    </w:lvl>
    <w:lvl w:ilvl="1" w:tplc="1DFEF230" w:tentative="1">
      <w:start w:val="1"/>
      <w:numFmt w:val="lowerLetter"/>
      <w:lvlText w:val="%2."/>
      <w:lvlJc w:val="left"/>
      <w:pPr>
        <w:ind w:left="1440" w:hanging="360"/>
      </w:pPr>
      <w:rPr>
        <w:rFonts w:cs="Times New Roman"/>
      </w:rPr>
    </w:lvl>
    <w:lvl w:ilvl="2" w:tplc="B44402F2" w:tentative="1">
      <w:start w:val="1"/>
      <w:numFmt w:val="lowerRoman"/>
      <w:lvlText w:val="%3."/>
      <w:lvlJc w:val="right"/>
      <w:pPr>
        <w:ind w:left="2160" w:hanging="180"/>
      </w:pPr>
      <w:rPr>
        <w:rFonts w:cs="Times New Roman"/>
      </w:rPr>
    </w:lvl>
    <w:lvl w:ilvl="3" w:tplc="565697A8" w:tentative="1">
      <w:start w:val="1"/>
      <w:numFmt w:val="decimal"/>
      <w:lvlText w:val="%4."/>
      <w:lvlJc w:val="left"/>
      <w:pPr>
        <w:ind w:left="2880" w:hanging="360"/>
      </w:pPr>
      <w:rPr>
        <w:rFonts w:cs="Times New Roman"/>
      </w:rPr>
    </w:lvl>
    <w:lvl w:ilvl="4" w:tplc="B0B6DA70" w:tentative="1">
      <w:start w:val="1"/>
      <w:numFmt w:val="lowerLetter"/>
      <w:lvlText w:val="%5."/>
      <w:lvlJc w:val="left"/>
      <w:pPr>
        <w:ind w:left="3600" w:hanging="360"/>
      </w:pPr>
      <w:rPr>
        <w:rFonts w:cs="Times New Roman"/>
      </w:rPr>
    </w:lvl>
    <w:lvl w:ilvl="5" w:tplc="9A26289A" w:tentative="1">
      <w:start w:val="1"/>
      <w:numFmt w:val="lowerRoman"/>
      <w:lvlText w:val="%6."/>
      <w:lvlJc w:val="right"/>
      <w:pPr>
        <w:ind w:left="4320" w:hanging="180"/>
      </w:pPr>
      <w:rPr>
        <w:rFonts w:cs="Times New Roman"/>
      </w:rPr>
    </w:lvl>
    <w:lvl w:ilvl="6" w:tplc="EA964148" w:tentative="1">
      <w:start w:val="1"/>
      <w:numFmt w:val="decimal"/>
      <w:lvlText w:val="%7."/>
      <w:lvlJc w:val="left"/>
      <w:pPr>
        <w:ind w:left="5040" w:hanging="360"/>
      </w:pPr>
      <w:rPr>
        <w:rFonts w:cs="Times New Roman"/>
      </w:rPr>
    </w:lvl>
    <w:lvl w:ilvl="7" w:tplc="BDFE2C9E" w:tentative="1">
      <w:start w:val="1"/>
      <w:numFmt w:val="lowerLetter"/>
      <w:lvlText w:val="%8."/>
      <w:lvlJc w:val="left"/>
      <w:pPr>
        <w:ind w:left="5760" w:hanging="360"/>
      </w:pPr>
      <w:rPr>
        <w:rFonts w:cs="Times New Roman"/>
      </w:rPr>
    </w:lvl>
    <w:lvl w:ilvl="8" w:tplc="F7A400C4" w:tentative="1">
      <w:start w:val="1"/>
      <w:numFmt w:val="lowerRoman"/>
      <w:lvlText w:val="%9."/>
      <w:lvlJc w:val="right"/>
      <w:pPr>
        <w:ind w:left="6480" w:hanging="180"/>
      </w:pPr>
      <w:rPr>
        <w:rFonts w:cs="Times New Roman"/>
      </w:rPr>
    </w:lvl>
  </w:abstractNum>
  <w:abstractNum w:abstractNumId="21" w15:restartNumberingAfterBreak="0">
    <w:nsid w:val="69D54FB6"/>
    <w:multiLevelType w:val="hybridMultilevel"/>
    <w:tmpl w:val="3E549AE0"/>
    <w:lvl w:ilvl="0" w:tplc="C45C9480">
      <w:start w:val="2"/>
      <w:numFmt w:val="bullet"/>
      <w:lvlText w:val="-"/>
      <w:lvlJc w:val="left"/>
      <w:pPr>
        <w:ind w:left="810" w:hanging="360"/>
      </w:pPr>
      <w:rPr>
        <w:rFonts w:ascii="Arial" w:eastAsia="Times New Roman" w:hAnsi="Arial" w:hint="default"/>
      </w:rPr>
    </w:lvl>
    <w:lvl w:ilvl="1" w:tplc="94BC8BAE" w:tentative="1">
      <w:start w:val="1"/>
      <w:numFmt w:val="bullet"/>
      <w:lvlText w:val="o"/>
      <w:lvlJc w:val="left"/>
      <w:pPr>
        <w:ind w:left="1530" w:hanging="360"/>
      </w:pPr>
      <w:rPr>
        <w:rFonts w:ascii="Courier New" w:hAnsi="Courier New" w:hint="default"/>
      </w:rPr>
    </w:lvl>
    <w:lvl w:ilvl="2" w:tplc="FEA48974" w:tentative="1">
      <w:start w:val="1"/>
      <w:numFmt w:val="bullet"/>
      <w:lvlText w:val=""/>
      <w:lvlJc w:val="left"/>
      <w:pPr>
        <w:ind w:left="2250" w:hanging="360"/>
      </w:pPr>
      <w:rPr>
        <w:rFonts w:ascii="Wingdings" w:hAnsi="Wingdings" w:hint="default"/>
      </w:rPr>
    </w:lvl>
    <w:lvl w:ilvl="3" w:tplc="A45CC740" w:tentative="1">
      <w:start w:val="1"/>
      <w:numFmt w:val="bullet"/>
      <w:lvlText w:val=""/>
      <w:lvlJc w:val="left"/>
      <w:pPr>
        <w:ind w:left="2970" w:hanging="360"/>
      </w:pPr>
      <w:rPr>
        <w:rFonts w:ascii="Symbol" w:hAnsi="Symbol" w:hint="default"/>
      </w:rPr>
    </w:lvl>
    <w:lvl w:ilvl="4" w:tplc="624A346E" w:tentative="1">
      <w:start w:val="1"/>
      <w:numFmt w:val="bullet"/>
      <w:lvlText w:val="o"/>
      <w:lvlJc w:val="left"/>
      <w:pPr>
        <w:ind w:left="3690" w:hanging="360"/>
      </w:pPr>
      <w:rPr>
        <w:rFonts w:ascii="Courier New" w:hAnsi="Courier New" w:hint="default"/>
      </w:rPr>
    </w:lvl>
    <w:lvl w:ilvl="5" w:tplc="E6AE5490" w:tentative="1">
      <w:start w:val="1"/>
      <w:numFmt w:val="bullet"/>
      <w:lvlText w:val=""/>
      <w:lvlJc w:val="left"/>
      <w:pPr>
        <w:ind w:left="4410" w:hanging="360"/>
      </w:pPr>
      <w:rPr>
        <w:rFonts w:ascii="Wingdings" w:hAnsi="Wingdings" w:hint="default"/>
      </w:rPr>
    </w:lvl>
    <w:lvl w:ilvl="6" w:tplc="9B1872AA" w:tentative="1">
      <w:start w:val="1"/>
      <w:numFmt w:val="bullet"/>
      <w:lvlText w:val=""/>
      <w:lvlJc w:val="left"/>
      <w:pPr>
        <w:ind w:left="5130" w:hanging="360"/>
      </w:pPr>
      <w:rPr>
        <w:rFonts w:ascii="Symbol" w:hAnsi="Symbol" w:hint="default"/>
      </w:rPr>
    </w:lvl>
    <w:lvl w:ilvl="7" w:tplc="44D61F48" w:tentative="1">
      <w:start w:val="1"/>
      <w:numFmt w:val="bullet"/>
      <w:lvlText w:val="o"/>
      <w:lvlJc w:val="left"/>
      <w:pPr>
        <w:ind w:left="5850" w:hanging="360"/>
      </w:pPr>
      <w:rPr>
        <w:rFonts w:ascii="Courier New" w:hAnsi="Courier New" w:hint="default"/>
      </w:rPr>
    </w:lvl>
    <w:lvl w:ilvl="8" w:tplc="5F4A08F2" w:tentative="1">
      <w:start w:val="1"/>
      <w:numFmt w:val="bullet"/>
      <w:lvlText w:val=""/>
      <w:lvlJc w:val="left"/>
      <w:pPr>
        <w:ind w:left="6570" w:hanging="360"/>
      </w:pPr>
      <w:rPr>
        <w:rFonts w:ascii="Wingdings" w:hAnsi="Wingdings" w:hint="default"/>
      </w:rPr>
    </w:lvl>
  </w:abstractNum>
  <w:abstractNum w:abstractNumId="22" w15:restartNumberingAfterBreak="0">
    <w:nsid w:val="6A4B1F2B"/>
    <w:multiLevelType w:val="hybridMultilevel"/>
    <w:tmpl w:val="42B4836C"/>
    <w:lvl w:ilvl="0" w:tplc="6090D170">
      <w:start w:val="1"/>
      <w:numFmt w:val="decimal"/>
      <w:lvlText w:val="%1."/>
      <w:lvlJc w:val="left"/>
      <w:pPr>
        <w:ind w:left="786" w:hanging="360"/>
      </w:pPr>
      <w:rPr>
        <w:rFonts w:cs="Times New Roman" w:hint="default"/>
      </w:rPr>
    </w:lvl>
    <w:lvl w:ilvl="1" w:tplc="50461A48" w:tentative="1">
      <w:start w:val="1"/>
      <w:numFmt w:val="lowerLetter"/>
      <w:lvlText w:val="%2."/>
      <w:lvlJc w:val="left"/>
      <w:pPr>
        <w:ind w:left="1440" w:hanging="360"/>
      </w:pPr>
      <w:rPr>
        <w:rFonts w:cs="Times New Roman"/>
      </w:rPr>
    </w:lvl>
    <w:lvl w:ilvl="2" w:tplc="7E8064F0" w:tentative="1">
      <w:start w:val="1"/>
      <w:numFmt w:val="lowerRoman"/>
      <w:lvlText w:val="%3."/>
      <w:lvlJc w:val="right"/>
      <w:pPr>
        <w:ind w:left="2160" w:hanging="180"/>
      </w:pPr>
      <w:rPr>
        <w:rFonts w:cs="Times New Roman"/>
      </w:rPr>
    </w:lvl>
    <w:lvl w:ilvl="3" w:tplc="B45E033C" w:tentative="1">
      <w:start w:val="1"/>
      <w:numFmt w:val="decimal"/>
      <w:lvlText w:val="%4."/>
      <w:lvlJc w:val="left"/>
      <w:pPr>
        <w:ind w:left="2880" w:hanging="360"/>
      </w:pPr>
      <w:rPr>
        <w:rFonts w:cs="Times New Roman"/>
      </w:rPr>
    </w:lvl>
    <w:lvl w:ilvl="4" w:tplc="92E84542" w:tentative="1">
      <w:start w:val="1"/>
      <w:numFmt w:val="lowerLetter"/>
      <w:lvlText w:val="%5."/>
      <w:lvlJc w:val="left"/>
      <w:pPr>
        <w:ind w:left="3600" w:hanging="360"/>
      </w:pPr>
      <w:rPr>
        <w:rFonts w:cs="Times New Roman"/>
      </w:rPr>
    </w:lvl>
    <w:lvl w:ilvl="5" w:tplc="83A603B8" w:tentative="1">
      <w:start w:val="1"/>
      <w:numFmt w:val="lowerRoman"/>
      <w:lvlText w:val="%6."/>
      <w:lvlJc w:val="right"/>
      <w:pPr>
        <w:ind w:left="4320" w:hanging="180"/>
      </w:pPr>
      <w:rPr>
        <w:rFonts w:cs="Times New Roman"/>
      </w:rPr>
    </w:lvl>
    <w:lvl w:ilvl="6" w:tplc="EE4EE230" w:tentative="1">
      <w:start w:val="1"/>
      <w:numFmt w:val="decimal"/>
      <w:lvlText w:val="%7."/>
      <w:lvlJc w:val="left"/>
      <w:pPr>
        <w:ind w:left="5040" w:hanging="360"/>
      </w:pPr>
      <w:rPr>
        <w:rFonts w:cs="Times New Roman"/>
      </w:rPr>
    </w:lvl>
    <w:lvl w:ilvl="7" w:tplc="D5E4495A" w:tentative="1">
      <w:start w:val="1"/>
      <w:numFmt w:val="lowerLetter"/>
      <w:lvlText w:val="%8."/>
      <w:lvlJc w:val="left"/>
      <w:pPr>
        <w:ind w:left="5760" w:hanging="360"/>
      </w:pPr>
      <w:rPr>
        <w:rFonts w:cs="Times New Roman"/>
      </w:rPr>
    </w:lvl>
    <w:lvl w:ilvl="8" w:tplc="9754E5DA" w:tentative="1">
      <w:start w:val="1"/>
      <w:numFmt w:val="lowerRoman"/>
      <w:lvlText w:val="%9."/>
      <w:lvlJc w:val="right"/>
      <w:pPr>
        <w:ind w:left="6480" w:hanging="180"/>
      </w:pPr>
      <w:rPr>
        <w:rFonts w:cs="Times New Roman"/>
      </w:rPr>
    </w:lvl>
  </w:abstractNum>
  <w:abstractNum w:abstractNumId="23" w15:restartNumberingAfterBreak="0">
    <w:nsid w:val="6BEE6257"/>
    <w:multiLevelType w:val="hybridMultilevel"/>
    <w:tmpl w:val="FF840AF2"/>
    <w:lvl w:ilvl="0" w:tplc="8FE85452">
      <w:start w:val="1"/>
      <w:numFmt w:val="bullet"/>
      <w:lvlText w:val=""/>
      <w:lvlJc w:val="left"/>
      <w:pPr>
        <w:ind w:left="720" w:hanging="360"/>
      </w:pPr>
      <w:rPr>
        <w:rFonts w:ascii="Symbol" w:hAnsi="Symbol" w:hint="default"/>
      </w:rPr>
    </w:lvl>
    <w:lvl w:ilvl="1" w:tplc="1D744D3C" w:tentative="1">
      <w:start w:val="1"/>
      <w:numFmt w:val="bullet"/>
      <w:lvlText w:val="o"/>
      <w:lvlJc w:val="left"/>
      <w:pPr>
        <w:ind w:left="1440" w:hanging="360"/>
      </w:pPr>
      <w:rPr>
        <w:rFonts w:ascii="Courier New" w:hAnsi="Courier New" w:cs="Courier New" w:hint="default"/>
      </w:rPr>
    </w:lvl>
    <w:lvl w:ilvl="2" w:tplc="7CCC0CAA" w:tentative="1">
      <w:start w:val="1"/>
      <w:numFmt w:val="bullet"/>
      <w:lvlText w:val=""/>
      <w:lvlJc w:val="left"/>
      <w:pPr>
        <w:ind w:left="2160" w:hanging="360"/>
      </w:pPr>
      <w:rPr>
        <w:rFonts w:ascii="Wingdings" w:hAnsi="Wingdings" w:hint="default"/>
      </w:rPr>
    </w:lvl>
    <w:lvl w:ilvl="3" w:tplc="1C428F16" w:tentative="1">
      <w:start w:val="1"/>
      <w:numFmt w:val="bullet"/>
      <w:lvlText w:val=""/>
      <w:lvlJc w:val="left"/>
      <w:pPr>
        <w:ind w:left="2880" w:hanging="360"/>
      </w:pPr>
      <w:rPr>
        <w:rFonts w:ascii="Symbol" w:hAnsi="Symbol" w:hint="default"/>
      </w:rPr>
    </w:lvl>
    <w:lvl w:ilvl="4" w:tplc="E6BAFA62" w:tentative="1">
      <w:start w:val="1"/>
      <w:numFmt w:val="bullet"/>
      <w:lvlText w:val="o"/>
      <w:lvlJc w:val="left"/>
      <w:pPr>
        <w:ind w:left="3600" w:hanging="360"/>
      </w:pPr>
      <w:rPr>
        <w:rFonts w:ascii="Courier New" w:hAnsi="Courier New" w:cs="Courier New" w:hint="default"/>
      </w:rPr>
    </w:lvl>
    <w:lvl w:ilvl="5" w:tplc="12A25354" w:tentative="1">
      <w:start w:val="1"/>
      <w:numFmt w:val="bullet"/>
      <w:lvlText w:val=""/>
      <w:lvlJc w:val="left"/>
      <w:pPr>
        <w:ind w:left="4320" w:hanging="360"/>
      </w:pPr>
      <w:rPr>
        <w:rFonts w:ascii="Wingdings" w:hAnsi="Wingdings" w:hint="default"/>
      </w:rPr>
    </w:lvl>
    <w:lvl w:ilvl="6" w:tplc="2FE034C6" w:tentative="1">
      <w:start w:val="1"/>
      <w:numFmt w:val="bullet"/>
      <w:lvlText w:val=""/>
      <w:lvlJc w:val="left"/>
      <w:pPr>
        <w:ind w:left="5040" w:hanging="360"/>
      </w:pPr>
      <w:rPr>
        <w:rFonts w:ascii="Symbol" w:hAnsi="Symbol" w:hint="default"/>
      </w:rPr>
    </w:lvl>
    <w:lvl w:ilvl="7" w:tplc="079ADB7A" w:tentative="1">
      <w:start w:val="1"/>
      <w:numFmt w:val="bullet"/>
      <w:lvlText w:val="o"/>
      <w:lvlJc w:val="left"/>
      <w:pPr>
        <w:ind w:left="5760" w:hanging="360"/>
      </w:pPr>
      <w:rPr>
        <w:rFonts w:ascii="Courier New" w:hAnsi="Courier New" w:cs="Courier New" w:hint="default"/>
      </w:rPr>
    </w:lvl>
    <w:lvl w:ilvl="8" w:tplc="989E5412" w:tentative="1">
      <w:start w:val="1"/>
      <w:numFmt w:val="bullet"/>
      <w:lvlText w:val=""/>
      <w:lvlJc w:val="left"/>
      <w:pPr>
        <w:ind w:left="6480" w:hanging="360"/>
      </w:pPr>
      <w:rPr>
        <w:rFonts w:ascii="Wingdings" w:hAnsi="Wingdings" w:hint="default"/>
      </w:rPr>
    </w:lvl>
  </w:abstractNum>
  <w:abstractNum w:abstractNumId="24" w15:restartNumberingAfterBreak="0">
    <w:nsid w:val="74094F88"/>
    <w:multiLevelType w:val="hybridMultilevel"/>
    <w:tmpl w:val="E7FC6238"/>
    <w:lvl w:ilvl="0" w:tplc="97C02714">
      <w:start w:val="1"/>
      <w:numFmt w:val="decimal"/>
      <w:lvlText w:val="%1."/>
      <w:lvlJc w:val="left"/>
      <w:pPr>
        <w:ind w:left="360" w:hanging="360"/>
      </w:pPr>
      <w:rPr>
        <w:rFonts w:cs="Times New Roman" w:hint="default"/>
      </w:rPr>
    </w:lvl>
    <w:lvl w:ilvl="1" w:tplc="B296CEFE" w:tentative="1">
      <w:start w:val="1"/>
      <w:numFmt w:val="lowerLetter"/>
      <w:lvlText w:val="%2."/>
      <w:lvlJc w:val="left"/>
      <w:pPr>
        <w:ind w:left="1222" w:hanging="360"/>
      </w:pPr>
      <w:rPr>
        <w:rFonts w:cs="Times New Roman"/>
      </w:rPr>
    </w:lvl>
    <w:lvl w:ilvl="2" w:tplc="7BDC0BDE" w:tentative="1">
      <w:start w:val="1"/>
      <w:numFmt w:val="lowerRoman"/>
      <w:lvlText w:val="%3."/>
      <w:lvlJc w:val="right"/>
      <w:pPr>
        <w:ind w:left="1942" w:hanging="180"/>
      </w:pPr>
      <w:rPr>
        <w:rFonts w:cs="Times New Roman"/>
      </w:rPr>
    </w:lvl>
    <w:lvl w:ilvl="3" w:tplc="B8985274" w:tentative="1">
      <w:start w:val="1"/>
      <w:numFmt w:val="decimal"/>
      <w:lvlText w:val="%4."/>
      <w:lvlJc w:val="left"/>
      <w:pPr>
        <w:ind w:left="2662" w:hanging="360"/>
      </w:pPr>
      <w:rPr>
        <w:rFonts w:cs="Times New Roman"/>
      </w:rPr>
    </w:lvl>
    <w:lvl w:ilvl="4" w:tplc="B03A17BC" w:tentative="1">
      <w:start w:val="1"/>
      <w:numFmt w:val="lowerLetter"/>
      <w:lvlText w:val="%5."/>
      <w:lvlJc w:val="left"/>
      <w:pPr>
        <w:ind w:left="3382" w:hanging="360"/>
      </w:pPr>
      <w:rPr>
        <w:rFonts w:cs="Times New Roman"/>
      </w:rPr>
    </w:lvl>
    <w:lvl w:ilvl="5" w:tplc="C8EA73B4" w:tentative="1">
      <w:start w:val="1"/>
      <w:numFmt w:val="lowerRoman"/>
      <w:lvlText w:val="%6."/>
      <w:lvlJc w:val="right"/>
      <w:pPr>
        <w:ind w:left="4102" w:hanging="180"/>
      </w:pPr>
      <w:rPr>
        <w:rFonts w:cs="Times New Roman"/>
      </w:rPr>
    </w:lvl>
    <w:lvl w:ilvl="6" w:tplc="4DCAB25A" w:tentative="1">
      <w:start w:val="1"/>
      <w:numFmt w:val="decimal"/>
      <w:lvlText w:val="%7."/>
      <w:lvlJc w:val="left"/>
      <w:pPr>
        <w:ind w:left="4822" w:hanging="360"/>
      </w:pPr>
      <w:rPr>
        <w:rFonts w:cs="Times New Roman"/>
      </w:rPr>
    </w:lvl>
    <w:lvl w:ilvl="7" w:tplc="C2642C94" w:tentative="1">
      <w:start w:val="1"/>
      <w:numFmt w:val="lowerLetter"/>
      <w:lvlText w:val="%8."/>
      <w:lvlJc w:val="left"/>
      <w:pPr>
        <w:ind w:left="5542" w:hanging="360"/>
      </w:pPr>
      <w:rPr>
        <w:rFonts w:cs="Times New Roman"/>
      </w:rPr>
    </w:lvl>
    <w:lvl w:ilvl="8" w:tplc="AD7E6CCC"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4"/>
  </w:num>
  <w:num w:numId="4">
    <w:abstractNumId w:val="20"/>
  </w:num>
  <w:num w:numId="5">
    <w:abstractNumId w:val="22"/>
  </w:num>
  <w:num w:numId="6">
    <w:abstractNumId w:val="11"/>
  </w:num>
  <w:num w:numId="7">
    <w:abstractNumId w:val="7"/>
  </w:num>
  <w:num w:numId="8">
    <w:abstractNumId w:val="6"/>
  </w:num>
  <w:num w:numId="9">
    <w:abstractNumId w:val="21"/>
  </w:num>
  <w:num w:numId="10">
    <w:abstractNumId w:val="19"/>
  </w:num>
  <w:num w:numId="11">
    <w:abstractNumId w:val="2"/>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23"/>
  </w:num>
  <w:num w:numId="19">
    <w:abstractNumId w:val="12"/>
  </w:num>
  <w:num w:numId="20">
    <w:abstractNumId w:val="4"/>
  </w:num>
  <w:num w:numId="21">
    <w:abstractNumId w:val="16"/>
  </w:num>
  <w:num w:numId="22">
    <w:abstractNumId w:val="5"/>
  </w:num>
  <w:num w:numId="23">
    <w:abstractNumId w:val="9"/>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B0"/>
    <w:rsid w:val="00127704"/>
    <w:rsid w:val="001F1CD2"/>
    <w:rsid w:val="002D7012"/>
    <w:rsid w:val="00340CAF"/>
    <w:rsid w:val="008B7DB0"/>
    <w:rsid w:val="00BF5373"/>
    <w:rsid w:val="00FC0C28"/>
    <w:rsid w:val="00FD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E3CE3"/>
  <w15:docId w15:val="{0920E827-4785-4B24-9638-3AF692C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 w:type="table" w:customStyle="1" w:styleId="TableGrid2">
    <w:name w:val="Table Grid2"/>
    <w:basedOn w:val="TableNormal"/>
    <w:next w:val="TableGrid"/>
    <w:uiPriority w:val="59"/>
    <w:rsid w:val="0062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38E2"/>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57D29.518E9E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5239-3F14-4F19-8C90-FF2B48D0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2106</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Crotty, Paul</dc:creator>
  <cp:keywords>Council meetings;Government, politics and public administration; Local government; Decision making; Council meetings;</cp:keywords>
  <cp:lastModifiedBy>Jones, Debra</cp:lastModifiedBy>
  <cp:revision>23</cp:revision>
  <cp:lastPrinted>2018-10-05T12:52:00Z</cp:lastPrinted>
  <dcterms:created xsi:type="dcterms:W3CDTF">2019-10-08T15:30:00Z</dcterms:created>
  <dcterms:modified xsi:type="dcterms:W3CDTF">2019-10-14T11:42:00Z</dcterms:modified>
</cp:coreProperties>
</file>